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795B0" w14:textId="77777777" w:rsidR="00095549" w:rsidRPr="00F743C7" w:rsidRDefault="00095549" w:rsidP="00095549">
      <w:pPr>
        <w:tabs>
          <w:tab w:val="left" w:pos="567"/>
        </w:tabs>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ΑΝΩΤΑΤΟ ΔΙΚΑΣΤΗΡΙΟ ΚΥΠΡΟΥ</w:t>
      </w:r>
    </w:p>
    <w:p w14:paraId="0D567112" w14:textId="77777777" w:rsidR="00095549" w:rsidRPr="00F743C7" w:rsidRDefault="00095549" w:rsidP="00095549">
      <w:pPr>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ΔΕΥΤΕΡΟΒΑΘΜΙΑ ΔΙΚΑΙΟΔΟΣΙΑ</w:t>
      </w:r>
    </w:p>
    <w:p w14:paraId="483C7F9A" w14:textId="77777777" w:rsidR="00095549" w:rsidRPr="00F743C7" w:rsidRDefault="00095549" w:rsidP="00095549">
      <w:pPr>
        <w:spacing w:line="276" w:lineRule="auto"/>
        <w:jc w:val="right"/>
        <w:rPr>
          <w:rFonts w:ascii="Bookman Old Style" w:hAnsi="Bookman Old Style" w:cs="Times New Roman"/>
          <w:sz w:val="28"/>
          <w:szCs w:val="28"/>
          <w:lang w:val="el-GR"/>
        </w:rPr>
      </w:pP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p>
    <w:p w14:paraId="53F81C66" w14:textId="5DF231B5" w:rsidR="00095549" w:rsidRPr="00F743C7" w:rsidRDefault="00095549" w:rsidP="00095549">
      <w:pPr>
        <w:spacing w:line="276" w:lineRule="auto"/>
        <w:jc w:val="right"/>
        <w:rPr>
          <w:rFonts w:ascii="Bookman Old Style" w:hAnsi="Bookman Old Style" w:cs="Times New Roman"/>
          <w:i/>
          <w:sz w:val="28"/>
          <w:szCs w:val="28"/>
          <w:lang w:val="el-GR"/>
        </w:rPr>
      </w:pPr>
      <w:r w:rsidRPr="00095549">
        <w:rPr>
          <w:rFonts w:ascii="Bookman Old Style" w:hAnsi="Bookman Old Style" w:cs="Times New Roman"/>
          <w:i/>
          <w:iCs/>
          <w:sz w:val="28"/>
          <w:szCs w:val="28"/>
          <w:lang w:val="el-GR"/>
        </w:rPr>
        <w:t>(</w:t>
      </w:r>
      <w:r w:rsidRPr="00F743C7">
        <w:rPr>
          <w:rFonts w:ascii="Bookman Old Style" w:hAnsi="Bookman Old Style" w:cs="Times New Roman"/>
          <w:i/>
          <w:sz w:val="28"/>
          <w:szCs w:val="28"/>
          <w:lang w:val="el-GR"/>
        </w:rPr>
        <w:t xml:space="preserve">Πολιτική Έφεση </w:t>
      </w:r>
      <w:proofErr w:type="spellStart"/>
      <w:r w:rsidRPr="00F743C7">
        <w:rPr>
          <w:rFonts w:ascii="Bookman Old Style" w:hAnsi="Bookman Old Style" w:cs="Times New Roman"/>
          <w:i/>
          <w:sz w:val="28"/>
          <w:szCs w:val="28"/>
          <w:lang w:val="el-GR"/>
        </w:rPr>
        <w:t>Αρ</w:t>
      </w:r>
      <w:proofErr w:type="spellEnd"/>
      <w:r w:rsidRPr="00F743C7">
        <w:rPr>
          <w:rFonts w:ascii="Bookman Old Style" w:hAnsi="Bookman Old Style" w:cs="Times New Roman"/>
          <w:i/>
          <w:sz w:val="28"/>
          <w:szCs w:val="28"/>
          <w:lang w:val="el-GR"/>
        </w:rPr>
        <w:t xml:space="preserve">. </w:t>
      </w:r>
      <w:r>
        <w:rPr>
          <w:rFonts w:ascii="Bookman Old Style" w:hAnsi="Bookman Old Style" w:cs="Times New Roman"/>
          <w:i/>
          <w:sz w:val="28"/>
          <w:szCs w:val="28"/>
          <w:lang w:val="el-GR"/>
        </w:rPr>
        <w:t>212/</w:t>
      </w:r>
      <w:r w:rsidRPr="00F743C7">
        <w:rPr>
          <w:rFonts w:ascii="Bookman Old Style" w:hAnsi="Bookman Old Style" w:cs="Times New Roman"/>
          <w:i/>
          <w:sz w:val="28"/>
          <w:szCs w:val="28"/>
          <w:lang w:val="el-GR"/>
        </w:rPr>
        <w:t>201</w:t>
      </w:r>
      <w:r>
        <w:rPr>
          <w:rFonts w:ascii="Bookman Old Style" w:hAnsi="Bookman Old Style" w:cs="Times New Roman"/>
          <w:i/>
          <w:sz w:val="28"/>
          <w:szCs w:val="28"/>
          <w:lang w:val="el-GR"/>
        </w:rPr>
        <w:t>5</w:t>
      </w:r>
      <w:r w:rsidRPr="00095549">
        <w:rPr>
          <w:rFonts w:ascii="Bookman Old Style" w:hAnsi="Bookman Old Style" w:cs="Times New Roman"/>
          <w:i/>
          <w:sz w:val="28"/>
          <w:szCs w:val="28"/>
          <w:lang w:val="el-GR"/>
        </w:rPr>
        <w:t>)</w:t>
      </w:r>
    </w:p>
    <w:p w14:paraId="70664CA5" w14:textId="77777777" w:rsidR="00095549" w:rsidRPr="00F743C7" w:rsidRDefault="00095549" w:rsidP="00095549">
      <w:pPr>
        <w:jc w:val="center"/>
        <w:rPr>
          <w:rFonts w:ascii="Bookman Old Style" w:hAnsi="Bookman Old Style" w:cs="Times New Roman"/>
          <w:sz w:val="28"/>
          <w:szCs w:val="28"/>
          <w:lang w:val="el-GR"/>
        </w:rPr>
      </w:pPr>
    </w:p>
    <w:p w14:paraId="1F973CBF" w14:textId="2C4D852B" w:rsidR="00095549" w:rsidRPr="00F743C7" w:rsidRDefault="001E3F33" w:rsidP="00095549">
      <w:pPr>
        <w:jc w:val="center"/>
        <w:rPr>
          <w:rFonts w:ascii="Bookman Old Style" w:hAnsi="Bookman Old Style" w:cs="Times New Roman"/>
          <w:sz w:val="28"/>
          <w:szCs w:val="28"/>
          <w:lang w:val="el-GR"/>
        </w:rPr>
      </w:pPr>
      <w:r>
        <w:rPr>
          <w:rFonts w:ascii="Bookman Old Style" w:hAnsi="Bookman Old Style" w:cs="Times New Roman"/>
          <w:sz w:val="28"/>
          <w:szCs w:val="28"/>
          <w:lang w:val="el-GR"/>
        </w:rPr>
        <w:t xml:space="preserve">10 </w:t>
      </w:r>
      <w:r w:rsidR="00095549">
        <w:rPr>
          <w:rFonts w:ascii="Bookman Old Style" w:hAnsi="Bookman Old Style" w:cs="Times New Roman"/>
          <w:sz w:val="28"/>
          <w:szCs w:val="28"/>
          <w:lang w:val="el-GR"/>
        </w:rPr>
        <w:t>Απριλίου</w:t>
      </w:r>
      <w:r w:rsidR="00095549" w:rsidRPr="00F743C7">
        <w:rPr>
          <w:rFonts w:ascii="Bookman Old Style" w:hAnsi="Bookman Old Style" w:cs="Times New Roman"/>
          <w:sz w:val="28"/>
          <w:szCs w:val="28"/>
          <w:lang w:val="el-GR"/>
        </w:rPr>
        <w:t>, 202</w:t>
      </w:r>
      <w:r w:rsidR="00095549">
        <w:rPr>
          <w:rFonts w:ascii="Bookman Old Style" w:hAnsi="Bookman Old Style" w:cs="Times New Roman"/>
          <w:sz w:val="28"/>
          <w:szCs w:val="28"/>
          <w:lang w:val="el-GR"/>
        </w:rPr>
        <w:t>4</w:t>
      </w:r>
    </w:p>
    <w:p w14:paraId="080226F5" w14:textId="77777777" w:rsidR="00095549" w:rsidRPr="00F743C7" w:rsidRDefault="00095549" w:rsidP="00095549">
      <w:pPr>
        <w:jc w:val="center"/>
        <w:rPr>
          <w:rFonts w:ascii="Bookman Old Style" w:hAnsi="Bookman Old Style" w:cs="Times New Roman"/>
          <w:sz w:val="28"/>
          <w:szCs w:val="28"/>
          <w:lang w:val="el-GR"/>
        </w:rPr>
      </w:pPr>
    </w:p>
    <w:p w14:paraId="559D47FD" w14:textId="77777777" w:rsidR="00095549" w:rsidRPr="00F743C7" w:rsidRDefault="00095549" w:rsidP="00095549">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[ΜΑΛΑΧΤΟΣ, ΙΩΑΝΝΙΔΗΣ, ΕΦΡΑΙΜ, Δ/</w:t>
      </w:r>
      <w:proofErr w:type="spellStart"/>
      <w:r w:rsidRPr="00F743C7">
        <w:rPr>
          <w:rFonts w:ascii="Bookman Old Style" w:hAnsi="Bookman Old Style" w:cs="Times New Roman"/>
          <w:sz w:val="28"/>
          <w:szCs w:val="28"/>
          <w:lang w:val="el-GR"/>
        </w:rPr>
        <w:t>στές</w:t>
      </w:r>
      <w:proofErr w:type="spellEnd"/>
      <w:r w:rsidRPr="00F743C7">
        <w:rPr>
          <w:rFonts w:ascii="Bookman Old Style" w:hAnsi="Bookman Old Style" w:cs="Times New Roman"/>
          <w:sz w:val="28"/>
          <w:szCs w:val="28"/>
          <w:lang w:val="el-GR"/>
        </w:rPr>
        <w:t>]</w:t>
      </w:r>
    </w:p>
    <w:p w14:paraId="2FE8987C" w14:textId="77777777" w:rsidR="00095549" w:rsidRDefault="00095549" w:rsidP="00095549">
      <w:pPr>
        <w:rPr>
          <w:rFonts w:ascii="Bookman Old Style" w:eastAsia="Bookman Old Style" w:hAnsi="Bookman Old Style"/>
          <w:sz w:val="28"/>
          <w:szCs w:val="28"/>
          <w:lang w:val="el-GR"/>
        </w:rPr>
      </w:pPr>
    </w:p>
    <w:p w14:paraId="092EA04C" w14:textId="129F2F83" w:rsidR="00095549" w:rsidRPr="005D335C" w:rsidRDefault="00095549" w:rsidP="00095549">
      <w:pPr>
        <w:jc w:val="center"/>
        <w:rPr>
          <w:rFonts w:ascii="Bookman Old Style" w:eastAsia="Bookman Old Style" w:hAnsi="Bookman Old Style"/>
          <w:sz w:val="28"/>
          <w:szCs w:val="28"/>
        </w:rPr>
      </w:pPr>
      <w:r>
        <w:rPr>
          <w:rFonts w:ascii="Bookman Old Style" w:eastAsia="Bookman Old Style" w:hAnsi="Bookman Old Style"/>
          <w:sz w:val="28"/>
          <w:szCs w:val="28"/>
          <w:lang w:val="el-GR"/>
        </w:rPr>
        <w:t>ΜΕΝΕΛΑΟΣ</w:t>
      </w:r>
      <w:r w:rsidRPr="005D335C">
        <w:rPr>
          <w:rFonts w:ascii="Bookman Old Style" w:eastAsia="Bookman Old Style" w:hAnsi="Bookman Old Style"/>
          <w:sz w:val="28"/>
          <w:szCs w:val="28"/>
        </w:rPr>
        <w:t xml:space="preserve"> </w:t>
      </w:r>
      <w:r>
        <w:rPr>
          <w:rFonts w:ascii="Bookman Old Style" w:eastAsia="Bookman Old Style" w:hAnsi="Bookman Old Style"/>
          <w:sz w:val="28"/>
          <w:szCs w:val="28"/>
          <w:lang w:val="el-GR"/>
        </w:rPr>
        <w:t>ΜΕΛΙΣΣΑ</w:t>
      </w:r>
      <w:r w:rsidR="00291FB0">
        <w:rPr>
          <w:rFonts w:ascii="Bookman Old Style" w:eastAsia="Bookman Old Style" w:hAnsi="Bookman Old Style"/>
          <w:sz w:val="28"/>
          <w:szCs w:val="28"/>
          <w:lang w:val="el-GR"/>
        </w:rPr>
        <w:t>Σ</w:t>
      </w:r>
    </w:p>
    <w:p w14:paraId="06D3C5BB" w14:textId="759E3169" w:rsidR="00095549" w:rsidRPr="005D335C" w:rsidRDefault="00095549" w:rsidP="00095549">
      <w:pPr>
        <w:ind w:left="1985" w:hanging="360"/>
        <w:rPr>
          <w:rFonts w:ascii="Bookman Old Style" w:eastAsia="Bookman Old Style" w:hAnsi="Bookman Old Style"/>
          <w:i/>
          <w:iCs/>
          <w:sz w:val="28"/>
          <w:szCs w:val="28"/>
        </w:rPr>
      </w:pPr>
      <w:r w:rsidRPr="005D335C">
        <w:rPr>
          <w:rFonts w:ascii="Bookman Old Style" w:eastAsia="Bookman Old Style" w:hAnsi="Bookman Old Style"/>
          <w:sz w:val="28"/>
          <w:szCs w:val="28"/>
        </w:rPr>
        <w:tab/>
      </w:r>
      <w:r w:rsidRPr="005D335C">
        <w:rPr>
          <w:rFonts w:ascii="Bookman Old Style" w:eastAsia="Bookman Old Style" w:hAnsi="Bookman Old Style"/>
          <w:sz w:val="28"/>
          <w:szCs w:val="28"/>
        </w:rPr>
        <w:tab/>
      </w:r>
      <w:r w:rsidRPr="005D335C">
        <w:rPr>
          <w:rFonts w:ascii="Bookman Old Style" w:eastAsia="Bookman Old Style" w:hAnsi="Bookman Old Style"/>
          <w:sz w:val="28"/>
          <w:szCs w:val="28"/>
        </w:rPr>
        <w:tab/>
      </w:r>
      <w:r w:rsidRPr="005D335C">
        <w:rPr>
          <w:rFonts w:ascii="Bookman Old Style" w:eastAsia="Bookman Old Style" w:hAnsi="Bookman Old Style"/>
          <w:sz w:val="28"/>
          <w:szCs w:val="28"/>
        </w:rPr>
        <w:tab/>
      </w:r>
      <w:r w:rsidRPr="005D335C">
        <w:rPr>
          <w:rFonts w:ascii="Bookman Old Style" w:eastAsia="Bookman Old Style" w:hAnsi="Bookman Old Style"/>
          <w:sz w:val="28"/>
          <w:szCs w:val="28"/>
        </w:rPr>
        <w:tab/>
      </w:r>
      <w:r w:rsidRPr="005D335C">
        <w:rPr>
          <w:rFonts w:ascii="Bookman Old Style" w:eastAsia="Bookman Old Style" w:hAnsi="Bookman Old Style"/>
          <w:sz w:val="28"/>
          <w:szCs w:val="28"/>
        </w:rPr>
        <w:tab/>
      </w:r>
      <w:r w:rsidRPr="005D335C">
        <w:rPr>
          <w:rFonts w:ascii="Bookman Old Style" w:eastAsia="Bookman Old Style" w:hAnsi="Bookman Old Style"/>
          <w:sz w:val="28"/>
          <w:szCs w:val="28"/>
        </w:rPr>
        <w:tab/>
      </w:r>
      <w:r w:rsidRPr="005D335C">
        <w:rPr>
          <w:rFonts w:ascii="Bookman Old Style" w:eastAsia="Bookman Old Style" w:hAnsi="Bookman Old Style"/>
          <w:sz w:val="28"/>
          <w:szCs w:val="28"/>
        </w:rPr>
        <w:tab/>
      </w:r>
      <w:proofErr w:type="spellStart"/>
      <w:r w:rsidRPr="00095549">
        <w:rPr>
          <w:rFonts w:ascii="Bookman Old Style" w:eastAsia="Bookman Old Style" w:hAnsi="Bookman Old Style"/>
          <w:i/>
          <w:iCs/>
          <w:sz w:val="28"/>
          <w:szCs w:val="28"/>
          <w:lang w:val="el-GR"/>
        </w:rPr>
        <w:t>Εφεσείοντα</w:t>
      </w:r>
      <w:r>
        <w:rPr>
          <w:rFonts w:ascii="Bookman Old Style" w:eastAsia="Bookman Old Style" w:hAnsi="Bookman Old Style"/>
          <w:i/>
          <w:iCs/>
          <w:sz w:val="28"/>
          <w:szCs w:val="28"/>
          <w:lang w:val="el-GR"/>
        </w:rPr>
        <w:t>ς</w:t>
      </w:r>
      <w:proofErr w:type="spellEnd"/>
      <w:r w:rsidRPr="005D335C">
        <w:rPr>
          <w:rFonts w:ascii="Bookman Old Style" w:eastAsia="Bookman Old Style" w:hAnsi="Bookman Old Style"/>
          <w:i/>
          <w:iCs/>
          <w:sz w:val="28"/>
          <w:szCs w:val="28"/>
        </w:rPr>
        <w:t>,</w:t>
      </w:r>
    </w:p>
    <w:p w14:paraId="05554432" w14:textId="4DF57C7B" w:rsidR="00095549" w:rsidRPr="005D335C" w:rsidRDefault="00095549" w:rsidP="00095549">
      <w:pPr>
        <w:jc w:val="center"/>
        <w:rPr>
          <w:rFonts w:ascii="Bookman Old Style" w:eastAsia="Bookman Old Style" w:hAnsi="Bookman Old Style"/>
          <w:sz w:val="28"/>
          <w:szCs w:val="28"/>
        </w:rPr>
      </w:pPr>
      <w:r>
        <w:rPr>
          <w:rFonts w:ascii="Bookman Old Style" w:eastAsia="Bookman Old Style" w:hAnsi="Bookman Old Style"/>
          <w:sz w:val="28"/>
          <w:szCs w:val="28"/>
        </w:rPr>
        <w:t>v.</w:t>
      </w:r>
    </w:p>
    <w:p w14:paraId="3325DA8D" w14:textId="77777777" w:rsidR="00095549" w:rsidRPr="005D335C" w:rsidRDefault="00095549" w:rsidP="00095549">
      <w:pPr>
        <w:jc w:val="center"/>
        <w:rPr>
          <w:rFonts w:ascii="Bookman Old Style" w:eastAsia="Bookman Old Style" w:hAnsi="Bookman Old Style"/>
          <w:sz w:val="28"/>
          <w:szCs w:val="28"/>
        </w:rPr>
      </w:pPr>
    </w:p>
    <w:p w14:paraId="4E3E2964" w14:textId="77777777" w:rsidR="00095549" w:rsidRPr="005D335C" w:rsidRDefault="00095549" w:rsidP="00095549">
      <w:pPr>
        <w:spacing w:after="0"/>
        <w:ind w:left="360"/>
        <w:jc w:val="center"/>
        <w:rPr>
          <w:rFonts w:ascii="Bookman Old Style" w:eastAsia="Bookman Old Style" w:hAnsi="Bookman Old Style"/>
          <w:sz w:val="28"/>
          <w:szCs w:val="28"/>
        </w:rPr>
      </w:pPr>
      <w:r>
        <w:rPr>
          <w:rFonts w:ascii="Bookman Old Style" w:eastAsia="Bookman Old Style" w:hAnsi="Bookman Old Style"/>
          <w:sz w:val="28"/>
          <w:szCs w:val="28"/>
        </w:rPr>
        <w:t>CYPRUS</w:t>
      </w:r>
      <w:r w:rsidRPr="005D335C">
        <w:rPr>
          <w:rFonts w:ascii="Bookman Old Style" w:eastAsia="Bookman Old Style" w:hAnsi="Bookman Old Style"/>
          <w:sz w:val="28"/>
          <w:szCs w:val="28"/>
        </w:rPr>
        <w:t xml:space="preserve"> </w:t>
      </w:r>
      <w:r>
        <w:rPr>
          <w:rFonts w:ascii="Bookman Old Style" w:eastAsia="Bookman Old Style" w:hAnsi="Bookman Old Style"/>
          <w:sz w:val="28"/>
          <w:szCs w:val="28"/>
        </w:rPr>
        <w:t>POPULAR</w:t>
      </w:r>
      <w:r w:rsidRPr="005D335C">
        <w:rPr>
          <w:rFonts w:ascii="Bookman Old Style" w:eastAsia="Bookman Old Style" w:hAnsi="Bookman Old Style"/>
          <w:sz w:val="28"/>
          <w:szCs w:val="28"/>
        </w:rPr>
        <w:t xml:space="preserve"> </w:t>
      </w:r>
      <w:r>
        <w:rPr>
          <w:rFonts w:ascii="Bookman Old Style" w:eastAsia="Bookman Old Style" w:hAnsi="Bookman Old Style"/>
          <w:sz w:val="28"/>
          <w:szCs w:val="28"/>
        </w:rPr>
        <w:t>BANK</w:t>
      </w:r>
      <w:r w:rsidRPr="005D335C">
        <w:rPr>
          <w:rFonts w:ascii="Bookman Old Style" w:eastAsia="Bookman Old Style" w:hAnsi="Bookman Old Style"/>
          <w:sz w:val="28"/>
          <w:szCs w:val="28"/>
        </w:rPr>
        <w:t xml:space="preserve"> </w:t>
      </w:r>
      <w:r>
        <w:rPr>
          <w:rFonts w:ascii="Bookman Old Style" w:eastAsia="Bookman Old Style" w:hAnsi="Bookman Old Style"/>
          <w:sz w:val="28"/>
          <w:szCs w:val="28"/>
        </w:rPr>
        <w:t>PUBLIC</w:t>
      </w:r>
      <w:r w:rsidRPr="005D335C">
        <w:rPr>
          <w:rFonts w:ascii="Bookman Old Style" w:eastAsia="Bookman Old Style" w:hAnsi="Bookman Old Style"/>
          <w:sz w:val="28"/>
          <w:szCs w:val="28"/>
        </w:rPr>
        <w:t xml:space="preserve"> </w:t>
      </w:r>
      <w:r>
        <w:rPr>
          <w:rFonts w:ascii="Bookman Old Style" w:eastAsia="Bookman Old Style" w:hAnsi="Bookman Old Style"/>
          <w:sz w:val="28"/>
          <w:szCs w:val="28"/>
        </w:rPr>
        <w:t>CO</w:t>
      </w:r>
      <w:r w:rsidRPr="005D335C">
        <w:rPr>
          <w:rFonts w:ascii="Bookman Old Style" w:eastAsia="Bookman Old Style" w:hAnsi="Bookman Old Style"/>
          <w:sz w:val="28"/>
          <w:szCs w:val="28"/>
        </w:rPr>
        <w:t xml:space="preserve"> </w:t>
      </w:r>
      <w:r>
        <w:rPr>
          <w:rFonts w:ascii="Bookman Old Style" w:eastAsia="Bookman Old Style" w:hAnsi="Bookman Old Style"/>
          <w:sz w:val="28"/>
          <w:szCs w:val="28"/>
        </w:rPr>
        <w:t>LIMITED</w:t>
      </w:r>
    </w:p>
    <w:p w14:paraId="41C6B6D2" w14:textId="77777777" w:rsidR="00095549" w:rsidRDefault="00095549" w:rsidP="00095549">
      <w:pPr>
        <w:ind w:left="360"/>
        <w:jc w:val="center"/>
        <w:rPr>
          <w:rFonts w:ascii="Bookman Old Style" w:eastAsia="Bookman Old Style" w:hAnsi="Bookman Old Style"/>
          <w:sz w:val="28"/>
          <w:szCs w:val="28"/>
        </w:rPr>
      </w:pPr>
      <w:r>
        <w:rPr>
          <w:rFonts w:ascii="Bookman Old Style" w:eastAsia="Bookman Old Style" w:hAnsi="Bookman Old Style"/>
          <w:sz w:val="28"/>
          <w:szCs w:val="28"/>
        </w:rPr>
        <w:t>(</w:t>
      </w:r>
      <w:r>
        <w:rPr>
          <w:rFonts w:ascii="Bookman Old Style" w:eastAsia="Bookman Old Style" w:hAnsi="Bookman Old Style"/>
          <w:sz w:val="28"/>
          <w:szCs w:val="28"/>
          <w:lang w:val="el-GR"/>
        </w:rPr>
        <w:t>ΠΡΩΗΝ</w:t>
      </w:r>
      <w:r w:rsidRPr="00EB08BD">
        <w:rPr>
          <w:rFonts w:ascii="Bookman Old Style" w:eastAsia="Bookman Old Style" w:hAnsi="Bookman Old Style"/>
          <w:sz w:val="28"/>
          <w:szCs w:val="28"/>
        </w:rPr>
        <w:t xml:space="preserve"> </w:t>
      </w:r>
      <w:r>
        <w:rPr>
          <w:rFonts w:ascii="Bookman Old Style" w:eastAsia="Bookman Old Style" w:hAnsi="Bookman Old Style"/>
          <w:sz w:val="28"/>
          <w:szCs w:val="28"/>
          <w:lang w:val="el-GR"/>
        </w:rPr>
        <w:t>Μ</w:t>
      </w:r>
      <w:r>
        <w:rPr>
          <w:rFonts w:ascii="Bookman Old Style" w:eastAsia="Bookman Old Style" w:hAnsi="Bookman Old Style"/>
          <w:sz w:val="28"/>
          <w:szCs w:val="28"/>
        </w:rPr>
        <w:t>ARFIN POPULAR BANK PUBLIC CO LTD)</w:t>
      </w:r>
    </w:p>
    <w:p w14:paraId="332D42FA" w14:textId="5420216C" w:rsidR="00095549" w:rsidRPr="00095549" w:rsidRDefault="00095549" w:rsidP="00095549">
      <w:pPr>
        <w:rPr>
          <w:rFonts w:ascii="Bookman Old Style" w:eastAsia="Bookman Old Style" w:hAnsi="Bookman Old Style"/>
          <w:i/>
          <w:iCs/>
          <w:sz w:val="28"/>
          <w:szCs w:val="28"/>
          <w:lang w:val="el-GR"/>
        </w:rPr>
      </w:pPr>
      <w:r>
        <w:rPr>
          <w:rFonts w:ascii="Bookman Old Style" w:eastAsia="Bookman Old Style" w:hAnsi="Bookman Old Style"/>
          <w:sz w:val="28"/>
          <w:szCs w:val="28"/>
        </w:rPr>
        <w:t xml:space="preserve"> </w:t>
      </w:r>
      <w:r>
        <w:rPr>
          <w:rFonts w:ascii="Bookman Old Style" w:eastAsia="Bookman Old Style" w:hAnsi="Bookman Old Style"/>
          <w:sz w:val="28"/>
          <w:szCs w:val="28"/>
        </w:rPr>
        <w:tab/>
      </w:r>
      <w:r>
        <w:rPr>
          <w:rFonts w:ascii="Bookman Old Style" w:eastAsia="Bookman Old Style" w:hAnsi="Bookman Old Style"/>
          <w:sz w:val="28"/>
          <w:szCs w:val="28"/>
        </w:rPr>
        <w:tab/>
      </w:r>
      <w:r>
        <w:rPr>
          <w:rFonts w:ascii="Bookman Old Style" w:eastAsia="Bookman Old Style" w:hAnsi="Bookman Old Style"/>
          <w:sz w:val="28"/>
          <w:szCs w:val="28"/>
        </w:rPr>
        <w:tab/>
      </w:r>
      <w:r>
        <w:rPr>
          <w:rFonts w:ascii="Bookman Old Style" w:eastAsia="Bookman Old Style" w:hAnsi="Bookman Old Style"/>
          <w:sz w:val="28"/>
          <w:szCs w:val="28"/>
        </w:rPr>
        <w:tab/>
      </w:r>
      <w:r>
        <w:rPr>
          <w:rFonts w:ascii="Bookman Old Style" w:eastAsia="Bookman Old Style" w:hAnsi="Bookman Old Style"/>
          <w:sz w:val="28"/>
          <w:szCs w:val="28"/>
        </w:rPr>
        <w:tab/>
      </w:r>
      <w:r w:rsidRPr="00EB08BD">
        <w:rPr>
          <w:rFonts w:ascii="Bookman Old Style" w:eastAsia="Bookman Old Style" w:hAnsi="Bookman Old Style"/>
          <w:sz w:val="28"/>
          <w:szCs w:val="28"/>
        </w:rPr>
        <w:tab/>
      </w:r>
      <w:r w:rsidRPr="00EB08BD">
        <w:rPr>
          <w:rFonts w:ascii="Bookman Old Style" w:eastAsia="Bookman Old Style" w:hAnsi="Bookman Old Style"/>
          <w:sz w:val="28"/>
          <w:szCs w:val="28"/>
        </w:rPr>
        <w:tab/>
      </w:r>
      <w:r w:rsidRPr="00EB08BD">
        <w:rPr>
          <w:rFonts w:ascii="Bookman Old Style" w:eastAsia="Bookman Old Style" w:hAnsi="Bookman Old Style"/>
          <w:sz w:val="28"/>
          <w:szCs w:val="28"/>
        </w:rPr>
        <w:tab/>
      </w:r>
      <w:r w:rsidRPr="00EB08BD">
        <w:rPr>
          <w:rFonts w:ascii="Bookman Old Style" w:eastAsia="Bookman Old Style" w:hAnsi="Bookman Old Style"/>
          <w:sz w:val="28"/>
          <w:szCs w:val="28"/>
        </w:rPr>
        <w:tab/>
      </w:r>
      <w:r w:rsidRPr="00095549">
        <w:rPr>
          <w:rFonts w:ascii="Bookman Old Style" w:eastAsia="Bookman Old Style" w:hAnsi="Bookman Old Style"/>
          <w:i/>
          <w:iCs/>
          <w:sz w:val="28"/>
          <w:szCs w:val="28"/>
          <w:lang w:val="el-GR"/>
        </w:rPr>
        <w:t>Εφεσίβλητ</w:t>
      </w:r>
      <w:r>
        <w:rPr>
          <w:rFonts w:ascii="Bookman Old Style" w:eastAsia="Bookman Old Style" w:hAnsi="Bookman Old Style"/>
          <w:i/>
          <w:iCs/>
          <w:sz w:val="28"/>
          <w:szCs w:val="28"/>
          <w:lang w:val="el-GR"/>
        </w:rPr>
        <w:t>ης.</w:t>
      </w:r>
    </w:p>
    <w:p w14:paraId="6A6F4FC1" w14:textId="77777777" w:rsidR="00095549" w:rsidRDefault="00095549" w:rsidP="00095549">
      <w:pPr>
        <w:jc w:val="center"/>
        <w:rPr>
          <w:rFonts w:ascii="Bookman Old Style" w:eastAsia="Bookman Old Style" w:hAnsi="Bookman Old Style"/>
          <w:sz w:val="28"/>
          <w:szCs w:val="28"/>
          <w:lang w:val="el-GR"/>
        </w:rPr>
      </w:pPr>
      <w:r>
        <w:rPr>
          <w:rFonts w:ascii="Bookman Old Style" w:eastAsia="Bookman Old Style" w:hAnsi="Bookman Old Style"/>
          <w:sz w:val="28"/>
          <w:szCs w:val="28"/>
          <w:lang w:val="el-GR"/>
        </w:rPr>
        <w:t>...............</w:t>
      </w:r>
    </w:p>
    <w:p w14:paraId="4B537E46" w14:textId="77777777" w:rsidR="00095549" w:rsidRDefault="00095549" w:rsidP="00095549">
      <w:pPr>
        <w:rPr>
          <w:rFonts w:ascii="Bookman Old Style" w:eastAsia="Bookman Old Style" w:hAnsi="Bookman Old Style"/>
          <w:sz w:val="28"/>
          <w:szCs w:val="28"/>
          <w:u w:val="single"/>
          <w:lang w:val="el-GR"/>
        </w:rPr>
      </w:pPr>
    </w:p>
    <w:p w14:paraId="24AAAD41" w14:textId="21019EC4" w:rsidR="00095549" w:rsidRPr="00095549" w:rsidRDefault="00095549" w:rsidP="00095549">
      <w:pPr>
        <w:spacing w:after="0" w:line="240" w:lineRule="auto"/>
        <w:ind w:firstLine="567"/>
        <w:rPr>
          <w:rFonts w:ascii="Bookman Old Style" w:eastAsia="Bookman Old Style" w:hAnsi="Bookman Old Style"/>
          <w:sz w:val="28"/>
          <w:szCs w:val="28"/>
          <w:lang w:val="el-GR"/>
        </w:rPr>
      </w:pPr>
      <w:r w:rsidRPr="00095549">
        <w:rPr>
          <w:rFonts w:ascii="Bookman Old Style" w:eastAsia="Bookman Old Style" w:hAnsi="Bookman Old Style"/>
          <w:i/>
          <w:iCs/>
          <w:sz w:val="28"/>
          <w:szCs w:val="28"/>
        </w:rPr>
        <w:t>A</w:t>
      </w:r>
      <w:r w:rsidRPr="00095549">
        <w:rPr>
          <w:rFonts w:ascii="Bookman Old Style" w:eastAsia="Bookman Old Style" w:hAnsi="Bookman Old Style"/>
          <w:i/>
          <w:iCs/>
          <w:sz w:val="28"/>
          <w:szCs w:val="28"/>
          <w:lang w:val="el-GR"/>
        </w:rPr>
        <w:t xml:space="preserve">. </w:t>
      </w:r>
      <w:proofErr w:type="spellStart"/>
      <w:r w:rsidRPr="00095549">
        <w:rPr>
          <w:rFonts w:ascii="Bookman Old Style" w:eastAsia="Bookman Old Style" w:hAnsi="Bookman Old Style"/>
          <w:i/>
          <w:iCs/>
          <w:sz w:val="28"/>
          <w:szCs w:val="28"/>
          <w:lang w:val="el-GR"/>
        </w:rPr>
        <w:t>Κασιανής</w:t>
      </w:r>
      <w:proofErr w:type="spellEnd"/>
      <w:r>
        <w:rPr>
          <w:rFonts w:ascii="Bookman Old Style" w:eastAsia="Bookman Old Style" w:hAnsi="Bookman Old Style"/>
          <w:i/>
          <w:iCs/>
          <w:sz w:val="28"/>
          <w:szCs w:val="28"/>
          <w:lang w:val="el-GR"/>
        </w:rPr>
        <w:t xml:space="preserve">, </w:t>
      </w:r>
      <w:r w:rsidRPr="00095549">
        <w:rPr>
          <w:rFonts w:ascii="Bookman Old Style" w:eastAsia="Bookman Old Style" w:hAnsi="Bookman Old Style"/>
          <w:i/>
          <w:iCs/>
          <w:sz w:val="28"/>
          <w:szCs w:val="28"/>
          <w:lang w:val="el-GR"/>
        </w:rPr>
        <w:t>για Α</w:t>
      </w:r>
      <w:r>
        <w:rPr>
          <w:rFonts w:ascii="Bookman Old Style" w:eastAsia="Bookman Old Style" w:hAnsi="Bookman Old Style"/>
          <w:i/>
          <w:iCs/>
          <w:sz w:val="28"/>
          <w:szCs w:val="28"/>
          <w:lang w:val="el-GR"/>
        </w:rPr>
        <w:t xml:space="preserve">νδρέα Θ. </w:t>
      </w:r>
      <w:proofErr w:type="spellStart"/>
      <w:r w:rsidRPr="00095549">
        <w:rPr>
          <w:rFonts w:ascii="Bookman Old Style" w:eastAsia="Bookman Old Style" w:hAnsi="Bookman Old Style"/>
          <w:i/>
          <w:iCs/>
          <w:sz w:val="28"/>
          <w:szCs w:val="28"/>
          <w:lang w:val="el-GR"/>
        </w:rPr>
        <w:t>Μαθηκολώνη</w:t>
      </w:r>
      <w:proofErr w:type="spellEnd"/>
      <w:r>
        <w:rPr>
          <w:rFonts w:ascii="Bookman Old Style" w:eastAsia="Bookman Old Style" w:hAnsi="Bookman Old Style"/>
          <w:sz w:val="28"/>
          <w:szCs w:val="28"/>
          <w:lang w:val="el-GR"/>
        </w:rPr>
        <w:t xml:space="preserve">, για τον </w:t>
      </w:r>
      <w:proofErr w:type="spellStart"/>
      <w:r>
        <w:rPr>
          <w:rFonts w:ascii="Bookman Old Style" w:eastAsia="Bookman Old Style" w:hAnsi="Bookman Old Style"/>
          <w:sz w:val="28"/>
          <w:szCs w:val="28"/>
          <w:lang w:val="el-GR"/>
        </w:rPr>
        <w:t>Εφεσείοντα</w:t>
      </w:r>
      <w:proofErr w:type="spellEnd"/>
      <w:r>
        <w:rPr>
          <w:rFonts w:ascii="Bookman Old Style" w:eastAsia="Bookman Old Style" w:hAnsi="Bookman Old Style"/>
          <w:sz w:val="28"/>
          <w:szCs w:val="28"/>
          <w:lang w:val="el-GR"/>
        </w:rPr>
        <w:t>.</w:t>
      </w:r>
    </w:p>
    <w:p w14:paraId="42C5630A" w14:textId="76932A55" w:rsidR="00095549" w:rsidRDefault="00095549" w:rsidP="00095549">
      <w:pPr>
        <w:tabs>
          <w:tab w:val="left" w:pos="567"/>
        </w:tabs>
        <w:spacing w:after="0" w:line="240" w:lineRule="auto"/>
        <w:ind w:left="567"/>
        <w:rPr>
          <w:rFonts w:ascii="Bookman Old Style" w:eastAsia="Bookman Old Style" w:hAnsi="Bookman Old Style"/>
          <w:sz w:val="28"/>
          <w:szCs w:val="28"/>
          <w:lang w:val="el-GR"/>
        </w:rPr>
      </w:pPr>
      <w:r w:rsidRPr="00095549">
        <w:rPr>
          <w:rFonts w:ascii="Bookman Old Style" w:eastAsia="Bookman Old Style" w:hAnsi="Bookman Old Style"/>
          <w:i/>
          <w:iCs/>
          <w:sz w:val="28"/>
          <w:szCs w:val="28"/>
          <w:lang w:val="el-GR"/>
        </w:rPr>
        <w:t xml:space="preserve">Ζ. </w:t>
      </w:r>
      <w:proofErr w:type="spellStart"/>
      <w:r w:rsidRPr="00095549">
        <w:rPr>
          <w:rFonts w:ascii="Bookman Old Style" w:eastAsia="Bookman Old Style" w:hAnsi="Bookman Old Style"/>
          <w:i/>
          <w:iCs/>
          <w:sz w:val="28"/>
          <w:szCs w:val="28"/>
          <w:lang w:val="el-GR"/>
        </w:rPr>
        <w:t>Ζαχαρίου</w:t>
      </w:r>
      <w:proofErr w:type="spellEnd"/>
      <w:r>
        <w:rPr>
          <w:rFonts w:ascii="Bookman Old Style" w:eastAsia="Bookman Old Style" w:hAnsi="Bookman Old Style"/>
          <w:i/>
          <w:iCs/>
          <w:sz w:val="28"/>
          <w:szCs w:val="28"/>
          <w:lang w:val="el-GR"/>
        </w:rPr>
        <w:t xml:space="preserve">, </w:t>
      </w:r>
      <w:r w:rsidRPr="00095549">
        <w:rPr>
          <w:rFonts w:ascii="Bookman Old Style" w:eastAsia="Bookman Old Style" w:hAnsi="Bookman Old Style"/>
          <w:i/>
          <w:iCs/>
          <w:sz w:val="28"/>
          <w:szCs w:val="28"/>
          <w:lang w:val="el-GR"/>
        </w:rPr>
        <w:t xml:space="preserve">για </w:t>
      </w:r>
      <w:proofErr w:type="spellStart"/>
      <w:r w:rsidRPr="00095549">
        <w:rPr>
          <w:rFonts w:ascii="Bookman Old Style" w:eastAsia="Bookman Old Style" w:hAnsi="Bookman Old Style"/>
          <w:i/>
          <w:iCs/>
          <w:sz w:val="28"/>
          <w:szCs w:val="28"/>
          <w:lang w:val="el-GR"/>
        </w:rPr>
        <w:t>Τσίτσιος</w:t>
      </w:r>
      <w:proofErr w:type="spellEnd"/>
      <w:r w:rsidRPr="00095549">
        <w:rPr>
          <w:rFonts w:ascii="Bookman Old Style" w:eastAsia="Bookman Old Style" w:hAnsi="Bookman Old Style"/>
          <w:i/>
          <w:iCs/>
          <w:sz w:val="28"/>
          <w:szCs w:val="28"/>
          <w:lang w:val="el-GR"/>
        </w:rPr>
        <w:t xml:space="preserve"> &amp; Συνεργάτες Δ</w:t>
      </w:r>
      <w:r>
        <w:rPr>
          <w:rFonts w:ascii="Bookman Old Style" w:eastAsia="Bookman Old Style" w:hAnsi="Bookman Old Style"/>
          <w:i/>
          <w:iCs/>
          <w:sz w:val="28"/>
          <w:szCs w:val="28"/>
          <w:lang w:val="el-GR"/>
        </w:rPr>
        <w:t>.</w:t>
      </w:r>
      <w:r w:rsidRPr="00095549">
        <w:rPr>
          <w:rFonts w:ascii="Bookman Old Style" w:eastAsia="Bookman Old Style" w:hAnsi="Bookman Old Style"/>
          <w:i/>
          <w:iCs/>
          <w:sz w:val="28"/>
          <w:szCs w:val="28"/>
          <w:lang w:val="el-GR"/>
        </w:rPr>
        <w:t>Ε</w:t>
      </w:r>
      <w:r>
        <w:rPr>
          <w:rFonts w:ascii="Bookman Old Style" w:eastAsia="Bookman Old Style" w:hAnsi="Bookman Old Style"/>
          <w:i/>
          <w:iCs/>
          <w:sz w:val="28"/>
          <w:szCs w:val="28"/>
          <w:lang w:val="el-GR"/>
        </w:rPr>
        <w:t>.</w:t>
      </w:r>
      <w:r w:rsidRPr="00095549">
        <w:rPr>
          <w:rFonts w:ascii="Bookman Old Style" w:eastAsia="Bookman Old Style" w:hAnsi="Bookman Old Style"/>
          <w:i/>
          <w:iCs/>
          <w:sz w:val="28"/>
          <w:szCs w:val="28"/>
          <w:lang w:val="el-GR"/>
        </w:rPr>
        <w:t>Π</w:t>
      </w:r>
      <w:r>
        <w:rPr>
          <w:rFonts w:ascii="Bookman Old Style" w:eastAsia="Bookman Old Style" w:hAnsi="Bookman Old Style"/>
          <w:i/>
          <w:iCs/>
          <w:sz w:val="28"/>
          <w:szCs w:val="28"/>
          <w:lang w:val="el-GR"/>
        </w:rPr>
        <w:t>.</w:t>
      </w:r>
      <w:r w:rsidRPr="00095549">
        <w:rPr>
          <w:rFonts w:ascii="Bookman Old Style" w:eastAsia="Bookman Old Style" w:hAnsi="Bookman Old Style"/>
          <w:i/>
          <w:iCs/>
          <w:sz w:val="28"/>
          <w:szCs w:val="28"/>
          <w:lang w:val="el-GR"/>
        </w:rPr>
        <w:t>Ε</w:t>
      </w:r>
      <w:r>
        <w:rPr>
          <w:rFonts w:ascii="Bookman Old Style" w:eastAsia="Bookman Old Style" w:hAnsi="Bookman Old Style"/>
          <w:i/>
          <w:iCs/>
          <w:sz w:val="28"/>
          <w:szCs w:val="28"/>
          <w:lang w:val="el-GR"/>
        </w:rPr>
        <w:t>.</w:t>
      </w:r>
      <w:r>
        <w:rPr>
          <w:rFonts w:ascii="Bookman Old Style" w:eastAsia="Bookman Old Style" w:hAnsi="Bookman Old Style"/>
          <w:sz w:val="28"/>
          <w:szCs w:val="28"/>
          <w:lang w:val="el-GR"/>
        </w:rPr>
        <w:t>, για την Εφεσίβλητη.</w:t>
      </w:r>
    </w:p>
    <w:p w14:paraId="7FFB38F3" w14:textId="77777777" w:rsidR="00095549" w:rsidRDefault="00095549" w:rsidP="00095549">
      <w:pPr>
        <w:tabs>
          <w:tab w:val="left" w:pos="567"/>
        </w:tabs>
        <w:spacing w:after="0" w:line="240" w:lineRule="auto"/>
        <w:rPr>
          <w:rFonts w:ascii="Bookman Old Style" w:eastAsia="Bookman Old Style" w:hAnsi="Bookman Old Style"/>
          <w:sz w:val="28"/>
          <w:szCs w:val="28"/>
          <w:lang w:val="el-GR"/>
        </w:rPr>
      </w:pPr>
    </w:p>
    <w:p w14:paraId="0D51C6D9" w14:textId="77777777" w:rsidR="00095549" w:rsidRDefault="00095549" w:rsidP="00095549">
      <w:pPr>
        <w:tabs>
          <w:tab w:val="left" w:pos="567"/>
        </w:tabs>
        <w:spacing w:after="0" w:line="240" w:lineRule="auto"/>
        <w:rPr>
          <w:rFonts w:ascii="Bookman Old Style" w:eastAsia="Bookman Old Style" w:hAnsi="Bookman Old Style"/>
          <w:sz w:val="28"/>
          <w:szCs w:val="28"/>
          <w:lang w:val="el-GR"/>
        </w:rPr>
      </w:pPr>
    </w:p>
    <w:p w14:paraId="77A93955" w14:textId="77777777" w:rsidR="00095549" w:rsidRDefault="00095549" w:rsidP="00095549">
      <w:pPr>
        <w:tabs>
          <w:tab w:val="left" w:pos="567"/>
        </w:tabs>
        <w:spacing w:after="0" w:line="240" w:lineRule="auto"/>
        <w:rPr>
          <w:rFonts w:ascii="Bookman Old Style" w:eastAsia="Bookman Old Style" w:hAnsi="Bookman Old Style"/>
          <w:sz w:val="28"/>
          <w:szCs w:val="28"/>
          <w:lang w:val="el-GR"/>
        </w:rPr>
      </w:pPr>
    </w:p>
    <w:p w14:paraId="27693090" w14:textId="77777777" w:rsidR="00095549" w:rsidRPr="00F743C7" w:rsidRDefault="00095549" w:rsidP="00095549">
      <w:pPr>
        <w:tabs>
          <w:tab w:val="left" w:pos="567"/>
        </w:tabs>
        <w:spacing w:after="0" w:line="276" w:lineRule="auto"/>
        <w:rPr>
          <w:rFonts w:ascii="Bookman Old Style" w:hAnsi="Bookman Old Style" w:cs="Times New Roman"/>
          <w:sz w:val="28"/>
          <w:szCs w:val="28"/>
          <w:lang w:val="el-GR"/>
        </w:rPr>
      </w:pPr>
      <w:r w:rsidRPr="00F743C7">
        <w:rPr>
          <w:rFonts w:ascii="Bookman Old Style" w:hAnsi="Bookman Old Style" w:cs="Times New Roman"/>
          <w:b/>
          <w:sz w:val="28"/>
          <w:szCs w:val="28"/>
          <w:lang w:val="el-GR"/>
        </w:rPr>
        <w:t>ΜΑΛΑΧΤΟΣ, Δ.:</w:t>
      </w:r>
      <w:r w:rsidRPr="00F743C7">
        <w:rPr>
          <w:rFonts w:ascii="Bookman Old Style" w:hAnsi="Bookman Old Style" w:cs="Times New Roman"/>
          <w:sz w:val="28"/>
          <w:szCs w:val="28"/>
          <w:lang w:val="el-GR"/>
        </w:rPr>
        <w:t xml:space="preserve"> Η απόφαση του Δικαστηρίου είναι ομόφωνη και </w:t>
      </w:r>
    </w:p>
    <w:p w14:paraId="0978DBC2" w14:textId="77777777" w:rsidR="00095549" w:rsidRPr="00F743C7" w:rsidRDefault="00095549" w:rsidP="00095549">
      <w:pPr>
        <w:tabs>
          <w:tab w:val="left" w:pos="567"/>
        </w:tabs>
        <w:spacing w:line="276" w:lineRule="auto"/>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 xml:space="preserve"> θα δοθεί από την </w:t>
      </w:r>
      <w:proofErr w:type="spellStart"/>
      <w:r w:rsidRPr="00F743C7">
        <w:rPr>
          <w:rFonts w:ascii="Bookman Old Style" w:hAnsi="Bookman Old Style" w:cs="Times New Roman"/>
          <w:sz w:val="28"/>
          <w:szCs w:val="28"/>
          <w:lang w:val="el-GR"/>
        </w:rPr>
        <w:t>Εφραίμ</w:t>
      </w:r>
      <w:proofErr w:type="spellEnd"/>
      <w:r w:rsidRPr="00F743C7">
        <w:rPr>
          <w:rFonts w:ascii="Bookman Old Style" w:hAnsi="Bookman Old Style" w:cs="Times New Roman"/>
          <w:sz w:val="28"/>
          <w:szCs w:val="28"/>
          <w:lang w:val="el-GR"/>
        </w:rPr>
        <w:t>, Δ.</w:t>
      </w:r>
    </w:p>
    <w:p w14:paraId="7C9353FA" w14:textId="77777777" w:rsidR="00095549" w:rsidRDefault="00095549" w:rsidP="00095549">
      <w:pPr>
        <w:tabs>
          <w:tab w:val="left" w:pos="567"/>
        </w:tabs>
        <w:rPr>
          <w:rFonts w:ascii="Bookman Old Style" w:hAnsi="Bookman Old Style" w:cs="Times New Roman"/>
          <w:b/>
          <w:sz w:val="28"/>
          <w:szCs w:val="28"/>
          <w:u w:val="single"/>
          <w:lang w:val="el-GR"/>
        </w:rPr>
      </w:pPr>
    </w:p>
    <w:p w14:paraId="0FD7EC68" w14:textId="77777777" w:rsidR="00095549" w:rsidRDefault="00095549" w:rsidP="00095549">
      <w:pPr>
        <w:tabs>
          <w:tab w:val="left" w:pos="567"/>
        </w:tabs>
        <w:rPr>
          <w:rFonts w:ascii="Bookman Old Style" w:hAnsi="Bookman Old Style" w:cs="Times New Roman"/>
          <w:b/>
          <w:sz w:val="28"/>
          <w:szCs w:val="28"/>
          <w:u w:val="single"/>
          <w:lang w:val="el-GR"/>
        </w:rPr>
      </w:pPr>
    </w:p>
    <w:p w14:paraId="3B0987FF" w14:textId="77777777" w:rsidR="00095549" w:rsidRPr="00F743C7" w:rsidRDefault="00095549" w:rsidP="00095549">
      <w:pPr>
        <w:tabs>
          <w:tab w:val="left" w:pos="567"/>
        </w:tabs>
        <w:jc w:val="center"/>
        <w:rPr>
          <w:rFonts w:ascii="Bookman Old Style" w:hAnsi="Bookman Old Style" w:cs="Times New Roman"/>
          <w:b/>
          <w:sz w:val="28"/>
          <w:szCs w:val="28"/>
          <w:u w:val="single"/>
          <w:lang w:val="el-GR"/>
        </w:rPr>
      </w:pPr>
      <w:r w:rsidRPr="00F743C7">
        <w:rPr>
          <w:rFonts w:ascii="Bookman Old Style" w:hAnsi="Bookman Old Style" w:cs="Times New Roman"/>
          <w:b/>
          <w:sz w:val="28"/>
          <w:szCs w:val="28"/>
          <w:u w:val="single"/>
          <w:lang w:val="el-GR"/>
        </w:rPr>
        <w:lastRenderedPageBreak/>
        <w:t>Α Π Ο Φ Α Σ Η</w:t>
      </w:r>
    </w:p>
    <w:p w14:paraId="77B303F2" w14:textId="77777777" w:rsidR="00095549" w:rsidRPr="00F743C7" w:rsidRDefault="00095549" w:rsidP="00095549">
      <w:pPr>
        <w:tabs>
          <w:tab w:val="left" w:pos="567"/>
        </w:tabs>
        <w:jc w:val="center"/>
        <w:rPr>
          <w:rFonts w:ascii="Bookman Old Style" w:hAnsi="Bookman Old Style" w:cs="Times New Roman"/>
          <w:b/>
          <w:sz w:val="28"/>
          <w:szCs w:val="28"/>
          <w:u w:val="single"/>
          <w:lang w:val="el-GR"/>
        </w:rPr>
      </w:pPr>
    </w:p>
    <w:p w14:paraId="2EC95907" w14:textId="6B8281F8" w:rsidR="004F1C86" w:rsidRDefault="00095549" w:rsidP="00095549">
      <w:pPr>
        <w:tabs>
          <w:tab w:val="left" w:pos="567"/>
        </w:tabs>
        <w:spacing w:after="0" w:line="480" w:lineRule="auto"/>
        <w:jc w:val="both"/>
        <w:rPr>
          <w:rFonts w:ascii="Bookman Old Style" w:hAnsi="Bookman Old Style"/>
          <w:sz w:val="28"/>
          <w:szCs w:val="28"/>
          <w:lang w:val="el-GR"/>
        </w:rPr>
      </w:pPr>
      <w:r>
        <w:rPr>
          <w:rFonts w:ascii="Bookman Old Style" w:hAnsi="Bookman Old Style" w:cs="Times New Roman"/>
          <w:b/>
          <w:sz w:val="28"/>
          <w:szCs w:val="28"/>
          <w:lang w:val="el-GR"/>
        </w:rPr>
        <w:tab/>
      </w:r>
      <w:r w:rsidRPr="00F743C7">
        <w:rPr>
          <w:rFonts w:ascii="Bookman Old Style" w:hAnsi="Bookman Old Style" w:cs="Times New Roman"/>
          <w:b/>
          <w:sz w:val="28"/>
          <w:szCs w:val="28"/>
          <w:lang w:val="el-GR"/>
        </w:rPr>
        <w:t>ΕΦΡΑΙΜ, Δ.:</w:t>
      </w:r>
      <w:r>
        <w:rPr>
          <w:rFonts w:ascii="Bookman Old Style" w:hAnsi="Bookman Old Style" w:cs="Times New Roman"/>
          <w:b/>
          <w:sz w:val="28"/>
          <w:szCs w:val="28"/>
          <w:lang w:val="el-GR"/>
        </w:rPr>
        <w:t xml:space="preserve"> </w:t>
      </w:r>
      <w:r w:rsidR="00990BB0" w:rsidRPr="00095549">
        <w:rPr>
          <w:rFonts w:ascii="Bookman Old Style" w:hAnsi="Bookman Old Style"/>
          <w:sz w:val="28"/>
          <w:szCs w:val="28"/>
          <w:lang w:val="el-GR"/>
        </w:rPr>
        <w:t xml:space="preserve">Η </w:t>
      </w:r>
      <w:r w:rsidR="00990BB0">
        <w:rPr>
          <w:rFonts w:ascii="Bookman Old Style" w:hAnsi="Bookman Old Style"/>
          <w:sz w:val="28"/>
          <w:szCs w:val="28"/>
          <w:lang w:val="el-GR"/>
        </w:rPr>
        <w:t xml:space="preserve">παρούσα Έφεση στρέφεται εναντίον απόφασης η οποία εκδόθηκε υπέρ της Εφεσίβλητης και εναντίον του Εφεσείοντα </w:t>
      </w:r>
      <w:r w:rsidR="00A83061">
        <w:rPr>
          <w:rFonts w:ascii="Bookman Old Style" w:hAnsi="Bookman Old Style"/>
          <w:sz w:val="28"/>
          <w:szCs w:val="28"/>
          <w:lang w:val="el-GR"/>
        </w:rPr>
        <w:t xml:space="preserve">(εναγόμενου 2) </w:t>
      </w:r>
      <w:r w:rsidR="00990BB0">
        <w:rPr>
          <w:rFonts w:ascii="Bookman Old Style" w:hAnsi="Bookman Old Style"/>
          <w:sz w:val="28"/>
          <w:szCs w:val="28"/>
          <w:lang w:val="el-GR"/>
        </w:rPr>
        <w:t xml:space="preserve">για το συνολικό ποσό των €14.808,26 πλέον τόκο, δυνάμει εγγύησης σε συμφωνία </w:t>
      </w:r>
      <w:proofErr w:type="spellStart"/>
      <w:r w:rsidR="00990BB0">
        <w:rPr>
          <w:rFonts w:ascii="Bookman Old Style" w:hAnsi="Bookman Old Style"/>
          <w:sz w:val="28"/>
          <w:szCs w:val="28"/>
          <w:lang w:val="el-GR"/>
        </w:rPr>
        <w:t>ενοικιαγοράς</w:t>
      </w:r>
      <w:proofErr w:type="spellEnd"/>
      <w:r w:rsidR="00990BB0">
        <w:rPr>
          <w:rFonts w:ascii="Bookman Old Style" w:hAnsi="Bookman Old Style"/>
          <w:sz w:val="28"/>
          <w:szCs w:val="28"/>
          <w:lang w:val="el-GR"/>
        </w:rPr>
        <w:t xml:space="preserve"> ενός οχήματος. </w:t>
      </w:r>
      <w:r w:rsidR="00A83061">
        <w:rPr>
          <w:rFonts w:ascii="Bookman Old Style" w:hAnsi="Bookman Old Style"/>
          <w:sz w:val="28"/>
          <w:szCs w:val="28"/>
          <w:lang w:val="el-GR"/>
        </w:rPr>
        <w:t xml:space="preserve">Η απόφαση εκδόθηκε εναντίον του αλληλέγγυα και ή </w:t>
      </w:r>
      <w:proofErr w:type="spellStart"/>
      <w:r w:rsidR="00A83061">
        <w:rPr>
          <w:rFonts w:ascii="Bookman Old Style" w:hAnsi="Bookman Old Style"/>
          <w:sz w:val="28"/>
          <w:szCs w:val="28"/>
          <w:lang w:val="el-GR"/>
        </w:rPr>
        <w:t>κεχωρισμένα</w:t>
      </w:r>
      <w:proofErr w:type="spellEnd"/>
      <w:r w:rsidR="00A83061">
        <w:rPr>
          <w:rFonts w:ascii="Bookman Old Style" w:hAnsi="Bookman Old Style"/>
          <w:sz w:val="28"/>
          <w:szCs w:val="28"/>
          <w:lang w:val="el-GR"/>
        </w:rPr>
        <w:t xml:space="preserve"> με τον εναγόμενο 1, ο οποίος ήταν </w:t>
      </w:r>
      <w:r w:rsidR="00C74BE7">
        <w:rPr>
          <w:rFonts w:ascii="Bookman Old Style" w:hAnsi="Bookman Old Style"/>
          <w:sz w:val="28"/>
          <w:szCs w:val="28"/>
          <w:lang w:val="el-GR"/>
        </w:rPr>
        <w:t xml:space="preserve">ο μισθωτής </w:t>
      </w:r>
      <w:r w:rsidR="00A83061">
        <w:rPr>
          <w:rFonts w:ascii="Bookman Old Style" w:hAnsi="Bookman Old Style"/>
          <w:sz w:val="28"/>
          <w:szCs w:val="28"/>
          <w:lang w:val="el-GR"/>
        </w:rPr>
        <w:t xml:space="preserve">και </w:t>
      </w:r>
      <w:r w:rsidR="00A62A21">
        <w:rPr>
          <w:rFonts w:ascii="Bookman Old Style" w:hAnsi="Bookman Old Style"/>
          <w:sz w:val="28"/>
          <w:szCs w:val="28"/>
          <w:lang w:val="el-GR"/>
        </w:rPr>
        <w:t xml:space="preserve">είχε ήδη εκδοθεί </w:t>
      </w:r>
      <w:r w:rsidR="00C74BE7">
        <w:rPr>
          <w:rFonts w:ascii="Bookman Old Style" w:hAnsi="Bookman Old Style"/>
          <w:sz w:val="28"/>
          <w:szCs w:val="28"/>
          <w:lang w:val="el-GR"/>
        </w:rPr>
        <w:t>εναντίον του</w:t>
      </w:r>
      <w:r w:rsidR="00C74BE7" w:rsidRPr="00A83061">
        <w:rPr>
          <w:rFonts w:ascii="Bookman Old Style" w:hAnsi="Bookman Old Style"/>
          <w:sz w:val="28"/>
          <w:szCs w:val="28"/>
          <w:lang w:val="el-GR"/>
        </w:rPr>
        <w:t xml:space="preserve"> </w:t>
      </w:r>
      <w:r w:rsidR="00A83061">
        <w:rPr>
          <w:rFonts w:ascii="Bookman Old Style" w:hAnsi="Bookman Old Style"/>
          <w:sz w:val="28"/>
          <w:szCs w:val="28"/>
          <w:lang w:val="el-GR"/>
        </w:rPr>
        <w:t xml:space="preserve">απόφαση </w:t>
      </w:r>
      <w:r w:rsidR="00C74BE7">
        <w:rPr>
          <w:rFonts w:ascii="Bookman Old Style" w:hAnsi="Bookman Old Style"/>
          <w:sz w:val="28"/>
          <w:szCs w:val="28"/>
          <w:lang w:val="el-GR"/>
        </w:rPr>
        <w:t xml:space="preserve">ερήμην του. </w:t>
      </w:r>
    </w:p>
    <w:p w14:paraId="52F29DA3" w14:textId="23D1CDBA" w:rsidR="001E2A5A" w:rsidRDefault="009909A9" w:rsidP="00095549">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 Εφεσείων αναγνωρίζει </w:t>
      </w:r>
      <w:r w:rsidR="00701918">
        <w:rPr>
          <w:rFonts w:ascii="Bookman Old Style" w:hAnsi="Bookman Old Style"/>
          <w:sz w:val="28"/>
          <w:szCs w:val="28"/>
          <w:lang w:val="el-GR"/>
        </w:rPr>
        <w:t xml:space="preserve">από μέρους του </w:t>
      </w:r>
      <w:r>
        <w:rPr>
          <w:rFonts w:ascii="Bookman Old Style" w:hAnsi="Bookman Old Style"/>
          <w:sz w:val="28"/>
          <w:szCs w:val="28"/>
          <w:lang w:val="el-GR"/>
        </w:rPr>
        <w:t xml:space="preserve">την υπογραφή της συμφωνίας εγγύησης, πλην όμως ισχυρίστηκε ότι </w:t>
      </w:r>
      <w:r w:rsidR="0072161A">
        <w:rPr>
          <w:rFonts w:ascii="Bookman Old Style" w:hAnsi="Bookman Old Style"/>
          <w:sz w:val="28"/>
          <w:szCs w:val="28"/>
          <w:lang w:val="el-GR"/>
        </w:rPr>
        <w:t xml:space="preserve">η συμφωνία </w:t>
      </w:r>
      <w:proofErr w:type="spellStart"/>
      <w:r w:rsidR="0072161A">
        <w:rPr>
          <w:rFonts w:ascii="Bookman Old Style" w:hAnsi="Bookman Old Style"/>
          <w:sz w:val="28"/>
          <w:szCs w:val="28"/>
          <w:lang w:val="el-GR"/>
        </w:rPr>
        <w:t>ενοικιαγοράς</w:t>
      </w:r>
      <w:proofErr w:type="spellEnd"/>
      <w:r w:rsidR="0072161A">
        <w:rPr>
          <w:rFonts w:ascii="Bookman Old Style" w:hAnsi="Bookman Old Style"/>
          <w:sz w:val="28"/>
          <w:szCs w:val="28"/>
          <w:lang w:val="el-GR"/>
        </w:rPr>
        <w:t xml:space="preserve"> ήταν εικονική και </w:t>
      </w:r>
      <w:r w:rsidR="006F391E">
        <w:rPr>
          <w:rFonts w:ascii="Bookman Old Style" w:hAnsi="Bookman Old Style"/>
          <w:sz w:val="28"/>
          <w:szCs w:val="28"/>
          <w:lang w:val="el-GR"/>
        </w:rPr>
        <w:t xml:space="preserve">ότι, </w:t>
      </w:r>
      <w:r w:rsidR="0006330B">
        <w:rPr>
          <w:rFonts w:ascii="Bookman Old Style" w:hAnsi="Bookman Old Style"/>
          <w:sz w:val="28"/>
          <w:szCs w:val="28"/>
          <w:lang w:val="el-GR"/>
        </w:rPr>
        <w:t xml:space="preserve">σε περίπτωση που </w:t>
      </w:r>
      <w:r w:rsidR="0072161A">
        <w:rPr>
          <w:rFonts w:ascii="Bookman Old Style" w:hAnsi="Bookman Old Style"/>
          <w:sz w:val="28"/>
          <w:szCs w:val="28"/>
          <w:lang w:val="el-GR"/>
        </w:rPr>
        <w:t>ήθελε αποδειχθεί πως το όχημα</w:t>
      </w:r>
      <w:r w:rsidR="00701918">
        <w:rPr>
          <w:rFonts w:ascii="Bookman Old Style" w:hAnsi="Bookman Old Style"/>
          <w:sz w:val="28"/>
          <w:szCs w:val="28"/>
          <w:lang w:val="el-GR"/>
        </w:rPr>
        <w:t xml:space="preserve"> ήταν υπαρκτό</w:t>
      </w:r>
      <w:r w:rsidR="0072161A">
        <w:rPr>
          <w:rFonts w:ascii="Bookman Old Style" w:hAnsi="Bookman Old Style"/>
          <w:sz w:val="28"/>
          <w:szCs w:val="28"/>
          <w:lang w:val="el-GR"/>
        </w:rPr>
        <w:t xml:space="preserve">, η συμφωνία ήταν άκυρη καθότι </w:t>
      </w:r>
      <w:r w:rsidR="00C310C6">
        <w:rPr>
          <w:rFonts w:ascii="Bookman Old Style" w:hAnsi="Bookman Old Style"/>
          <w:sz w:val="28"/>
          <w:szCs w:val="28"/>
          <w:lang w:val="el-GR"/>
        </w:rPr>
        <w:t xml:space="preserve">δεν τηρήθηκε </w:t>
      </w:r>
      <w:r w:rsidR="0072161A">
        <w:rPr>
          <w:rFonts w:ascii="Bookman Old Style" w:hAnsi="Bookman Old Style"/>
          <w:sz w:val="28"/>
          <w:szCs w:val="28"/>
          <w:lang w:val="el-GR"/>
        </w:rPr>
        <w:t>ουσιώδη</w:t>
      </w:r>
      <w:r w:rsidR="00C310C6">
        <w:rPr>
          <w:rFonts w:ascii="Bookman Old Style" w:hAnsi="Bookman Old Style"/>
          <w:sz w:val="28"/>
          <w:szCs w:val="28"/>
          <w:lang w:val="el-GR"/>
        </w:rPr>
        <w:t>ς</w:t>
      </w:r>
      <w:r w:rsidR="0072161A">
        <w:rPr>
          <w:rFonts w:ascii="Bookman Old Style" w:hAnsi="Bookman Old Style"/>
          <w:sz w:val="28"/>
          <w:szCs w:val="28"/>
          <w:lang w:val="el-GR"/>
        </w:rPr>
        <w:t xml:space="preserve"> όρο</w:t>
      </w:r>
      <w:r w:rsidR="00C310C6">
        <w:rPr>
          <w:rFonts w:ascii="Bookman Old Style" w:hAnsi="Bookman Old Style"/>
          <w:sz w:val="28"/>
          <w:szCs w:val="28"/>
          <w:lang w:val="el-GR"/>
        </w:rPr>
        <w:t>ς</w:t>
      </w:r>
      <w:r w:rsidR="0072161A">
        <w:rPr>
          <w:rFonts w:ascii="Bookman Old Style" w:hAnsi="Bookman Old Style"/>
          <w:sz w:val="28"/>
          <w:szCs w:val="28"/>
          <w:lang w:val="el-GR"/>
        </w:rPr>
        <w:t xml:space="preserve"> </w:t>
      </w:r>
      <w:r w:rsidR="00C310C6">
        <w:rPr>
          <w:rFonts w:ascii="Bookman Old Style" w:hAnsi="Bookman Old Style"/>
          <w:sz w:val="28"/>
          <w:szCs w:val="28"/>
          <w:lang w:val="el-GR"/>
        </w:rPr>
        <w:t>αυτής, ήτοι</w:t>
      </w:r>
      <w:r w:rsidR="0072161A">
        <w:rPr>
          <w:rFonts w:ascii="Bookman Old Style" w:hAnsi="Bookman Old Style"/>
          <w:sz w:val="28"/>
          <w:szCs w:val="28"/>
          <w:lang w:val="el-GR"/>
        </w:rPr>
        <w:t xml:space="preserve"> η εγγραφή του οχήματος στο όνομα της Εφεσίβλητης.</w:t>
      </w:r>
      <w:r w:rsidR="002B5EAC">
        <w:rPr>
          <w:rFonts w:ascii="Bookman Old Style" w:hAnsi="Bookman Old Style"/>
          <w:sz w:val="28"/>
          <w:szCs w:val="28"/>
          <w:lang w:val="el-GR"/>
        </w:rPr>
        <w:t xml:space="preserve"> Ήταν επίσης η θέση του πως η συμφωνία </w:t>
      </w:r>
      <w:r w:rsidR="00D90528">
        <w:rPr>
          <w:rFonts w:ascii="Bookman Old Style" w:hAnsi="Bookman Old Style"/>
          <w:sz w:val="28"/>
          <w:szCs w:val="28"/>
          <w:lang w:val="el-GR"/>
        </w:rPr>
        <w:t>εγγύηση</w:t>
      </w:r>
      <w:r w:rsidR="006C5916">
        <w:rPr>
          <w:rFonts w:ascii="Bookman Old Style" w:hAnsi="Bookman Old Style"/>
          <w:sz w:val="28"/>
          <w:szCs w:val="28"/>
          <w:lang w:val="el-GR"/>
        </w:rPr>
        <w:t>ς</w:t>
      </w:r>
      <w:r w:rsidR="00D90528">
        <w:rPr>
          <w:rFonts w:ascii="Bookman Old Style" w:hAnsi="Bookman Old Style"/>
          <w:sz w:val="28"/>
          <w:szCs w:val="28"/>
          <w:lang w:val="el-GR"/>
        </w:rPr>
        <w:t xml:space="preserve"> ήταν </w:t>
      </w:r>
      <w:r w:rsidR="00D7315E">
        <w:rPr>
          <w:rFonts w:ascii="Bookman Old Style" w:hAnsi="Bookman Old Style"/>
          <w:sz w:val="28"/>
          <w:szCs w:val="28"/>
          <w:lang w:val="el-GR"/>
        </w:rPr>
        <w:t>άκυρη</w:t>
      </w:r>
      <w:r w:rsidR="00D90528">
        <w:rPr>
          <w:rFonts w:ascii="Bookman Old Style" w:hAnsi="Bookman Old Style"/>
          <w:sz w:val="28"/>
          <w:szCs w:val="28"/>
          <w:lang w:val="el-GR"/>
        </w:rPr>
        <w:t xml:space="preserve"> επειδή</w:t>
      </w:r>
      <w:r w:rsidR="002B5EAC">
        <w:rPr>
          <w:rFonts w:ascii="Bookman Old Style" w:hAnsi="Bookman Old Style"/>
          <w:sz w:val="28"/>
          <w:szCs w:val="28"/>
          <w:lang w:val="el-GR"/>
        </w:rPr>
        <w:t xml:space="preserve"> ήταν υψίστης πίστεως και η Εφεσίβλητη </w:t>
      </w:r>
      <w:proofErr w:type="spellStart"/>
      <w:r w:rsidR="002B5EAC">
        <w:rPr>
          <w:rFonts w:ascii="Bookman Old Style" w:hAnsi="Bookman Old Style"/>
          <w:sz w:val="28"/>
          <w:szCs w:val="28"/>
          <w:lang w:val="el-GR"/>
        </w:rPr>
        <w:t>παρέβη</w:t>
      </w:r>
      <w:proofErr w:type="spellEnd"/>
      <w:r w:rsidR="002B5EAC">
        <w:rPr>
          <w:rFonts w:ascii="Bookman Old Style" w:hAnsi="Bookman Old Style"/>
          <w:sz w:val="28"/>
          <w:szCs w:val="28"/>
          <w:lang w:val="el-GR"/>
        </w:rPr>
        <w:t xml:space="preserve"> το καθήκον να του αποκαλύψει ότι το όχημα δεν είχε εγγραφεί στο όνομα της. </w:t>
      </w:r>
    </w:p>
    <w:p w14:paraId="0E4FD955" w14:textId="429D339C" w:rsidR="00475900" w:rsidRDefault="002B5EAC" w:rsidP="00095549">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Το πρωτόδικο Δικαστήριο δέχθηκε τη μαρτυρία των </w:t>
      </w:r>
      <w:r w:rsidR="004823A8">
        <w:rPr>
          <w:rFonts w:ascii="Bookman Old Style" w:hAnsi="Bookman Old Style"/>
          <w:sz w:val="28"/>
          <w:szCs w:val="28"/>
          <w:lang w:val="el-GR"/>
        </w:rPr>
        <w:t xml:space="preserve">δύο </w:t>
      </w:r>
      <w:r>
        <w:rPr>
          <w:rFonts w:ascii="Bookman Old Style" w:hAnsi="Bookman Old Style"/>
          <w:sz w:val="28"/>
          <w:szCs w:val="28"/>
          <w:lang w:val="el-GR"/>
        </w:rPr>
        <w:t xml:space="preserve">μαρτύρων για την Εφεσίβλητη ενώ απέρριψε τη μαρτυρία του Εφεσείοντα ως μη αξιόπιστη. Αποτέλεσε εύρημα του Δικαστηρίου ότι η συμφωνία </w:t>
      </w:r>
      <w:proofErr w:type="spellStart"/>
      <w:r>
        <w:rPr>
          <w:rFonts w:ascii="Bookman Old Style" w:hAnsi="Bookman Old Style"/>
          <w:sz w:val="28"/>
          <w:szCs w:val="28"/>
          <w:lang w:val="el-GR"/>
        </w:rPr>
        <w:t>ενοικιαγοράς</w:t>
      </w:r>
      <w:proofErr w:type="spellEnd"/>
      <w:r>
        <w:rPr>
          <w:rFonts w:ascii="Bookman Old Style" w:hAnsi="Bookman Old Style"/>
          <w:sz w:val="28"/>
          <w:szCs w:val="28"/>
          <w:lang w:val="el-GR"/>
        </w:rPr>
        <w:t xml:space="preserve"> δεν ήταν εικονική καθότι το όχημα, αντικείμενο αυτής, </w:t>
      </w:r>
      <w:r w:rsidR="007118E4">
        <w:rPr>
          <w:rFonts w:ascii="Bookman Old Style" w:hAnsi="Bookman Old Style"/>
          <w:sz w:val="28"/>
          <w:szCs w:val="28"/>
          <w:lang w:val="el-GR"/>
        </w:rPr>
        <w:t xml:space="preserve">ήταν υπαρκτό </w:t>
      </w:r>
      <w:r>
        <w:rPr>
          <w:rFonts w:ascii="Bookman Old Style" w:hAnsi="Bookman Old Style"/>
          <w:sz w:val="28"/>
          <w:szCs w:val="28"/>
          <w:lang w:val="el-GR"/>
        </w:rPr>
        <w:t xml:space="preserve">και ότι η μη εγγραφή του στο όνομα της Εφεσίβλητης δεν επηρέαζε την κυριότητα του και συνακόλουθα τη νομιμότητα της συμφωνίας. </w:t>
      </w:r>
      <w:r w:rsidR="00CC055E">
        <w:rPr>
          <w:rFonts w:ascii="Bookman Old Style" w:hAnsi="Bookman Old Style"/>
          <w:sz w:val="28"/>
          <w:szCs w:val="28"/>
          <w:lang w:val="el-GR"/>
        </w:rPr>
        <w:t xml:space="preserve">Κατέληξε επίσης ότι η συμφωνία εγγύησης δεν είναι σύμβαση υψίστης πίστεως και απέρριψε τη θέση πως ήταν </w:t>
      </w:r>
      <w:r w:rsidR="001B1BC8">
        <w:rPr>
          <w:rFonts w:ascii="Bookman Old Style" w:hAnsi="Bookman Old Style"/>
          <w:sz w:val="28"/>
          <w:szCs w:val="28"/>
          <w:lang w:val="el-GR"/>
        </w:rPr>
        <w:t xml:space="preserve">άκυρη. </w:t>
      </w:r>
      <w:r w:rsidR="00CC055E">
        <w:rPr>
          <w:rFonts w:ascii="Bookman Old Style" w:hAnsi="Bookman Old Style"/>
          <w:sz w:val="28"/>
          <w:szCs w:val="28"/>
          <w:lang w:val="el-GR"/>
        </w:rPr>
        <w:t xml:space="preserve">Αφού ικανοποιήθηκε </w:t>
      </w:r>
      <w:r w:rsidR="00475900">
        <w:rPr>
          <w:rFonts w:ascii="Bookman Old Style" w:hAnsi="Bookman Old Style"/>
          <w:sz w:val="28"/>
          <w:szCs w:val="28"/>
          <w:lang w:val="el-GR"/>
        </w:rPr>
        <w:t xml:space="preserve">πως ο εναγόμενος </w:t>
      </w:r>
      <w:r w:rsidR="00BA22F9">
        <w:rPr>
          <w:rFonts w:ascii="Bookman Old Style" w:hAnsi="Bookman Old Style"/>
          <w:sz w:val="28"/>
          <w:szCs w:val="28"/>
          <w:lang w:val="el-GR"/>
        </w:rPr>
        <w:t xml:space="preserve">1 </w:t>
      </w:r>
      <w:r w:rsidR="00475900">
        <w:rPr>
          <w:rFonts w:ascii="Bookman Old Style" w:hAnsi="Bookman Old Style"/>
          <w:sz w:val="28"/>
          <w:szCs w:val="28"/>
          <w:lang w:val="el-GR"/>
        </w:rPr>
        <w:t xml:space="preserve">παρέλειψε να εκπληρώσει τις υποχρεώσεις του δυνάμει της συμφωνίας </w:t>
      </w:r>
      <w:proofErr w:type="spellStart"/>
      <w:r w:rsidR="00475900">
        <w:rPr>
          <w:rFonts w:ascii="Bookman Old Style" w:hAnsi="Bookman Old Style"/>
          <w:sz w:val="28"/>
          <w:szCs w:val="28"/>
          <w:lang w:val="el-GR"/>
        </w:rPr>
        <w:t>ενοικαγοράς</w:t>
      </w:r>
      <w:proofErr w:type="spellEnd"/>
      <w:r w:rsidR="00475900">
        <w:rPr>
          <w:rFonts w:ascii="Bookman Old Style" w:hAnsi="Bookman Old Style"/>
          <w:sz w:val="28"/>
          <w:szCs w:val="28"/>
          <w:lang w:val="el-GR"/>
        </w:rPr>
        <w:t xml:space="preserve"> και η Εφεσίβλητη νόμιμα την τερμάτισε, εξέδωσε την προσβαλλόμενη απόφαση</w:t>
      </w:r>
      <w:r w:rsidR="003D1149">
        <w:rPr>
          <w:rFonts w:ascii="Bookman Old Style" w:hAnsi="Bookman Old Style"/>
          <w:sz w:val="28"/>
          <w:szCs w:val="28"/>
          <w:lang w:val="el-GR"/>
        </w:rPr>
        <w:t xml:space="preserve"> εναντίον του Εφεσείοντα</w:t>
      </w:r>
      <w:r w:rsidR="00475900">
        <w:rPr>
          <w:rFonts w:ascii="Bookman Old Style" w:hAnsi="Bookman Old Style"/>
          <w:sz w:val="28"/>
          <w:szCs w:val="28"/>
          <w:lang w:val="el-GR"/>
        </w:rPr>
        <w:t xml:space="preserve">. </w:t>
      </w:r>
      <w:r w:rsidR="00BC4458">
        <w:rPr>
          <w:rFonts w:ascii="Bookman Old Style" w:hAnsi="Bookman Old Style"/>
          <w:sz w:val="28"/>
          <w:szCs w:val="28"/>
          <w:lang w:val="el-GR"/>
        </w:rPr>
        <w:t xml:space="preserve"> </w:t>
      </w:r>
    </w:p>
    <w:p w14:paraId="59AF3785" w14:textId="1C59F874" w:rsidR="0089345C" w:rsidRDefault="0000728C" w:rsidP="00095549">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Ο</w:t>
      </w:r>
      <w:r w:rsidR="0089345C">
        <w:rPr>
          <w:rFonts w:ascii="Bookman Old Style" w:hAnsi="Bookman Old Style"/>
          <w:sz w:val="28"/>
          <w:szCs w:val="28"/>
          <w:lang w:val="el-GR"/>
        </w:rPr>
        <w:t>ι τρεις πρώτοι</w:t>
      </w:r>
      <w:r w:rsidR="0066574A">
        <w:rPr>
          <w:rFonts w:ascii="Bookman Old Style" w:hAnsi="Bookman Old Style"/>
          <w:sz w:val="28"/>
          <w:szCs w:val="28"/>
          <w:lang w:val="el-GR"/>
        </w:rPr>
        <w:t xml:space="preserve"> </w:t>
      </w:r>
      <w:r>
        <w:rPr>
          <w:rFonts w:ascii="Bookman Old Style" w:hAnsi="Bookman Old Style"/>
          <w:sz w:val="28"/>
          <w:szCs w:val="28"/>
          <w:lang w:val="el-GR"/>
        </w:rPr>
        <w:t>από τ</w:t>
      </w:r>
      <w:r w:rsidR="005D335C">
        <w:rPr>
          <w:rFonts w:ascii="Bookman Old Style" w:hAnsi="Bookman Old Style"/>
          <w:sz w:val="28"/>
          <w:szCs w:val="28"/>
          <w:lang w:val="el-GR"/>
        </w:rPr>
        <w:t>ου</w:t>
      </w:r>
      <w:r>
        <w:rPr>
          <w:rFonts w:ascii="Bookman Old Style" w:hAnsi="Bookman Old Style"/>
          <w:sz w:val="28"/>
          <w:szCs w:val="28"/>
          <w:lang w:val="el-GR"/>
        </w:rPr>
        <w:t xml:space="preserve">ς </w:t>
      </w:r>
      <w:r w:rsidR="007D01C6">
        <w:rPr>
          <w:rFonts w:ascii="Bookman Old Style" w:hAnsi="Bookman Old Style"/>
          <w:sz w:val="28"/>
          <w:szCs w:val="28"/>
          <w:lang w:val="el-GR"/>
        </w:rPr>
        <w:t>εννέα</w:t>
      </w:r>
      <w:r>
        <w:rPr>
          <w:rFonts w:ascii="Bookman Old Style" w:hAnsi="Bookman Old Style"/>
          <w:sz w:val="28"/>
          <w:szCs w:val="28"/>
          <w:lang w:val="el-GR"/>
        </w:rPr>
        <w:t xml:space="preserve"> λόγους έφεσης </w:t>
      </w:r>
      <w:r w:rsidR="0089345C">
        <w:rPr>
          <w:rFonts w:ascii="Bookman Old Style" w:hAnsi="Bookman Old Style"/>
          <w:sz w:val="28"/>
          <w:szCs w:val="28"/>
          <w:lang w:val="el-GR"/>
        </w:rPr>
        <w:t xml:space="preserve">αφορούν στην αξιολόγηση της μαρτυρίας του δεύτερου μάρτυρα της Εφεσίβλητης και του Εφεσείοντα. </w:t>
      </w:r>
    </w:p>
    <w:p w14:paraId="311BA8F1" w14:textId="434DD7BB" w:rsidR="000F0B36" w:rsidRDefault="00D04DEE" w:rsidP="00095549">
      <w:pPr>
        <w:spacing w:before="24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hAnsi="Bookman Old Style"/>
          <w:sz w:val="28"/>
          <w:szCs w:val="28"/>
          <w:lang w:val="el-GR"/>
        </w:rPr>
        <w:t xml:space="preserve">Είναι πάγια </w:t>
      </w:r>
      <w:proofErr w:type="spellStart"/>
      <w:r>
        <w:rPr>
          <w:rFonts w:ascii="Bookman Old Style" w:hAnsi="Bookman Old Style"/>
          <w:sz w:val="28"/>
          <w:szCs w:val="28"/>
          <w:lang w:val="el-GR"/>
        </w:rPr>
        <w:t>νομολογημένο</w:t>
      </w:r>
      <w:proofErr w:type="spellEnd"/>
      <w:r>
        <w:rPr>
          <w:rFonts w:ascii="Bookman Old Style" w:hAnsi="Bookman Old Style"/>
          <w:sz w:val="28"/>
          <w:szCs w:val="28"/>
          <w:lang w:val="el-GR"/>
        </w:rPr>
        <w:t xml:space="preserve"> </w:t>
      </w:r>
      <w:r w:rsidR="00EA684E">
        <w:rPr>
          <w:rFonts w:ascii="Bookman Old Style" w:hAnsi="Bookman Old Style"/>
          <w:sz w:val="28"/>
          <w:szCs w:val="28"/>
          <w:lang w:val="el-GR"/>
        </w:rPr>
        <w:t xml:space="preserve">ότι </w:t>
      </w:r>
      <w:r>
        <w:rPr>
          <w:rFonts w:ascii="Bookman Old Style" w:hAnsi="Bookman Old Style"/>
          <w:sz w:val="28"/>
          <w:szCs w:val="28"/>
          <w:lang w:val="el-GR"/>
        </w:rPr>
        <w:t>το</w:t>
      </w:r>
      <w:r w:rsidR="001071C2">
        <w:rPr>
          <w:rFonts w:ascii="Bookman Old Style" w:hAnsi="Bookman Old Style"/>
          <w:sz w:val="28"/>
          <w:szCs w:val="28"/>
          <w:lang w:val="el-GR"/>
        </w:rPr>
        <w:t xml:space="preserve"> Εφετείο επεμβαίνει μόνο σε εξαιρετικές περιπτώσεις στον τρόπο αξιολόγησης </w:t>
      </w:r>
      <w:r w:rsidR="00A62C8D">
        <w:rPr>
          <w:rFonts w:ascii="Bookman Old Style" w:hAnsi="Bookman Old Style"/>
          <w:sz w:val="28"/>
          <w:szCs w:val="28"/>
          <w:lang w:val="el-GR"/>
        </w:rPr>
        <w:t xml:space="preserve">της μαρτυρίας </w:t>
      </w:r>
      <w:r w:rsidR="001071C2">
        <w:rPr>
          <w:rFonts w:ascii="Bookman Old Style" w:hAnsi="Bookman Old Style"/>
          <w:sz w:val="28"/>
          <w:szCs w:val="28"/>
          <w:lang w:val="el-GR"/>
        </w:rPr>
        <w:t>από το πρωτόδικο Δικαστήριο.</w:t>
      </w:r>
      <w:r>
        <w:rPr>
          <w:rFonts w:ascii="Bookman Old Style" w:hAnsi="Bookman Old Style"/>
          <w:sz w:val="28"/>
          <w:szCs w:val="28"/>
          <w:lang w:val="el-GR"/>
        </w:rPr>
        <w:t xml:space="preserve"> </w:t>
      </w:r>
      <w:r w:rsidR="00EA684E">
        <w:rPr>
          <w:rFonts w:ascii="Bookman Old Style" w:hAnsi="Bookman Old Style"/>
          <w:sz w:val="28"/>
          <w:szCs w:val="28"/>
          <w:lang w:val="el-GR"/>
        </w:rPr>
        <w:t xml:space="preserve">Όπως έχει τονιστεί, μεταξύ άλλων, στην υπόθεση </w:t>
      </w:r>
      <w:r w:rsidR="00EA684E" w:rsidRPr="00D04DEE">
        <w:rPr>
          <w:rFonts w:ascii="Bookman Old Style" w:hAnsi="Bookman Old Style"/>
          <w:b/>
          <w:bCs/>
          <w:i/>
          <w:iCs/>
          <w:sz w:val="28"/>
          <w:szCs w:val="28"/>
        </w:rPr>
        <w:t>S</w:t>
      </w:r>
      <w:r w:rsidR="00EA684E" w:rsidRPr="00D04DEE">
        <w:rPr>
          <w:rFonts w:ascii="Bookman Old Style" w:hAnsi="Bookman Old Style"/>
          <w:b/>
          <w:bCs/>
          <w:i/>
          <w:iCs/>
          <w:sz w:val="28"/>
          <w:szCs w:val="28"/>
          <w:lang w:val="el-GR"/>
        </w:rPr>
        <w:t>.</w:t>
      </w:r>
      <w:r w:rsidR="00EA684E" w:rsidRPr="00D04DEE">
        <w:rPr>
          <w:rFonts w:ascii="Bookman Old Style" w:hAnsi="Bookman Old Style"/>
          <w:b/>
          <w:bCs/>
          <w:i/>
          <w:iCs/>
          <w:sz w:val="28"/>
          <w:szCs w:val="28"/>
        </w:rPr>
        <w:t>K</w:t>
      </w:r>
      <w:r w:rsidR="00EA684E" w:rsidRPr="00D04DEE">
        <w:rPr>
          <w:rFonts w:ascii="Bookman Old Style" w:hAnsi="Bookman Old Style"/>
          <w:b/>
          <w:bCs/>
          <w:i/>
          <w:iCs/>
          <w:sz w:val="28"/>
          <w:szCs w:val="28"/>
          <w:lang w:val="el-GR"/>
        </w:rPr>
        <w:t xml:space="preserve">. </w:t>
      </w:r>
      <w:r w:rsidR="00EA684E" w:rsidRPr="00D04DEE">
        <w:rPr>
          <w:rFonts w:ascii="Bookman Old Style" w:hAnsi="Bookman Old Style"/>
          <w:b/>
          <w:bCs/>
          <w:i/>
          <w:iCs/>
          <w:sz w:val="28"/>
          <w:szCs w:val="28"/>
        </w:rPr>
        <w:t>Masters</w:t>
      </w:r>
      <w:r w:rsidR="00EA684E" w:rsidRPr="00D04DEE">
        <w:rPr>
          <w:rFonts w:ascii="Bookman Old Style" w:hAnsi="Bookman Old Style"/>
          <w:b/>
          <w:bCs/>
          <w:i/>
          <w:iCs/>
          <w:sz w:val="28"/>
          <w:szCs w:val="28"/>
          <w:lang w:val="el-GR"/>
        </w:rPr>
        <w:t xml:space="preserve"> </w:t>
      </w:r>
      <w:r w:rsidR="00EA684E" w:rsidRPr="00D04DEE">
        <w:rPr>
          <w:rFonts w:ascii="Bookman Old Style" w:hAnsi="Bookman Old Style"/>
          <w:b/>
          <w:bCs/>
          <w:i/>
          <w:iCs/>
          <w:sz w:val="28"/>
          <w:szCs w:val="28"/>
        </w:rPr>
        <w:t>Developments</w:t>
      </w:r>
      <w:r w:rsidR="00EA684E" w:rsidRPr="00D04DEE">
        <w:rPr>
          <w:rFonts w:ascii="Bookman Old Style" w:hAnsi="Bookman Old Style"/>
          <w:b/>
          <w:bCs/>
          <w:i/>
          <w:iCs/>
          <w:sz w:val="28"/>
          <w:szCs w:val="28"/>
          <w:lang w:val="el-GR"/>
        </w:rPr>
        <w:t xml:space="preserve"> </w:t>
      </w:r>
      <w:r w:rsidR="00EA684E" w:rsidRPr="00D04DEE">
        <w:rPr>
          <w:rFonts w:ascii="Bookman Old Style" w:hAnsi="Bookman Old Style"/>
          <w:b/>
          <w:bCs/>
          <w:i/>
          <w:iCs/>
          <w:sz w:val="28"/>
          <w:szCs w:val="28"/>
        </w:rPr>
        <w:t>Ltd</w:t>
      </w:r>
      <w:r w:rsidR="00EA684E" w:rsidRPr="00D04DEE">
        <w:rPr>
          <w:rFonts w:ascii="Bookman Old Style" w:hAnsi="Bookman Old Style"/>
          <w:b/>
          <w:bCs/>
          <w:i/>
          <w:iCs/>
          <w:sz w:val="28"/>
          <w:szCs w:val="28"/>
          <w:lang w:val="el-GR"/>
        </w:rPr>
        <w:t xml:space="preserve"> </w:t>
      </w:r>
      <w:r w:rsidR="00EA684E" w:rsidRPr="00D04DEE">
        <w:rPr>
          <w:rFonts w:ascii="Bookman Old Style" w:hAnsi="Bookman Old Style"/>
          <w:b/>
          <w:bCs/>
          <w:i/>
          <w:iCs/>
          <w:sz w:val="28"/>
          <w:szCs w:val="28"/>
        </w:rPr>
        <w:t>v</w:t>
      </w:r>
      <w:r w:rsidR="00EA684E" w:rsidRPr="00D04DEE">
        <w:rPr>
          <w:rFonts w:ascii="Bookman Old Style" w:hAnsi="Bookman Old Style"/>
          <w:b/>
          <w:bCs/>
          <w:i/>
          <w:iCs/>
          <w:sz w:val="28"/>
          <w:szCs w:val="28"/>
          <w:lang w:val="el-GR"/>
        </w:rPr>
        <w:t xml:space="preserve">. Κυρατζής κ.ά., Πολ. </w:t>
      </w:r>
      <w:proofErr w:type="spellStart"/>
      <w:r w:rsidR="00EA684E" w:rsidRPr="00D04DEE">
        <w:rPr>
          <w:rFonts w:ascii="Bookman Old Style" w:hAnsi="Bookman Old Style"/>
          <w:b/>
          <w:bCs/>
          <w:i/>
          <w:iCs/>
          <w:sz w:val="28"/>
          <w:szCs w:val="28"/>
          <w:lang w:val="el-GR"/>
        </w:rPr>
        <w:t>Έφ</w:t>
      </w:r>
      <w:proofErr w:type="spellEnd"/>
      <w:r w:rsidR="00CD2ADC">
        <w:rPr>
          <w:rFonts w:ascii="Bookman Old Style" w:hAnsi="Bookman Old Style"/>
          <w:b/>
          <w:bCs/>
          <w:i/>
          <w:iCs/>
          <w:sz w:val="28"/>
          <w:szCs w:val="28"/>
          <w:lang w:val="el-GR"/>
        </w:rPr>
        <w:t>.</w:t>
      </w:r>
      <w:r w:rsidR="00EA684E" w:rsidRPr="00D04DEE">
        <w:rPr>
          <w:rFonts w:ascii="Bookman Old Style" w:hAnsi="Bookman Old Style"/>
          <w:b/>
          <w:bCs/>
          <w:i/>
          <w:iCs/>
          <w:sz w:val="28"/>
          <w:szCs w:val="28"/>
          <w:lang w:val="el-GR"/>
        </w:rPr>
        <w:t xml:space="preserve"> </w:t>
      </w:r>
      <w:proofErr w:type="spellStart"/>
      <w:r w:rsidR="00EA684E" w:rsidRPr="00D04DEE">
        <w:rPr>
          <w:rFonts w:ascii="Bookman Old Style" w:hAnsi="Bookman Old Style"/>
          <w:b/>
          <w:bCs/>
          <w:i/>
          <w:iCs/>
          <w:sz w:val="28"/>
          <w:szCs w:val="28"/>
          <w:lang w:val="el-GR"/>
        </w:rPr>
        <w:t>Αρ</w:t>
      </w:r>
      <w:proofErr w:type="spellEnd"/>
      <w:r w:rsidR="00EA684E" w:rsidRPr="00D04DEE">
        <w:rPr>
          <w:rFonts w:ascii="Bookman Old Style" w:hAnsi="Bookman Old Style"/>
          <w:b/>
          <w:bCs/>
          <w:i/>
          <w:iCs/>
          <w:sz w:val="28"/>
          <w:szCs w:val="28"/>
          <w:lang w:val="el-GR"/>
        </w:rPr>
        <w:t xml:space="preserve">. </w:t>
      </w:r>
      <w:r w:rsidR="00EA684E" w:rsidRPr="00D04DEE">
        <w:rPr>
          <w:rFonts w:ascii="Bookman Old Style" w:hAnsi="Bookman Old Style"/>
          <w:b/>
          <w:bCs/>
          <w:i/>
          <w:iCs/>
          <w:sz w:val="28"/>
          <w:szCs w:val="28"/>
          <w:lang w:val="el-GR"/>
        </w:rPr>
        <w:lastRenderedPageBreak/>
        <w:t xml:space="preserve">49/2015, </w:t>
      </w:r>
      <w:proofErr w:type="spellStart"/>
      <w:r w:rsidR="00EA684E" w:rsidRPr="00D04DEE">
        <w:rPr>
          <w:rFonts w:ascii="Bookman Old Style" w:hAnsi="Bookman Old Style"/>
          <w:b/>
          <w:bCs/>
          <w:i/>
          <w:iCs/>
          <w:sz w:val="28"/>
          <w:szCs w:val="28"/>
          <w:lang w:val="el-GR"/>
        </w:rPr>
        <w:t>ημερ</w:t>
      </w:r>
      <w:proofErr w:type="spellEnd"/>
      <w:r w:rsidR="00EA684E" w:rsidRPr="00D04DEE">
        <w:rPr>
          <w:rFonts w:ascii="Bookman Old Style" w:hAnsi="Bookman Old Style"/>
          <w:b/>
          <w:bCs/>
          <w:i/>
          <w:iCs/>
          <w:sz w:val="28"/>
          <w:szCs w:val="28"/>
          <w:lang w:val="el-GR"/>
        </w:rPr>
        <w:t>. 22.6.2023</w:t>
      </w:r>
      <w:r w:rsidR="00EA684E" w:rsidRPr="00D04DEE">
        <w:rPr>
          <w:rFonts w:ascii="Bookman Old Style" w:hAnsi="Bookman Old Style"/>
          <w:sz w:val="28"/>
          <w:szCs w:val="28"/>
          <w:lang w:val="el-GR"/>
        </w:rPr>
        <w:t>,</w:t>
      </w:r>
      <w:r w:rsidR="00EA684E">
        <w:rPr>
          <w:rFonts w:ascii="Bookman Old Style" w:hAnsi="Bookman Old Style"/>
          <w:sz w:val="28"/>
          <w:szCs w:val="28"/>
          <w:lang w:val="el-GR"/>
        </w:rPr>
        <w:t xml:space="preserve"> </w:t>
      </w:r>
      <w:r w:rsidR="00EA684E">
        <w:rPr>
          <w:rFonts w:ascii="Bookman Old Style" w:eastAsia="Times New Roman" w:hAnsi="Bookman Old Style" w:cs="Times New Roman"/>
          <w:color w:val="000000"/>
          <w:kern w:val="0"/>
          <w:sz w:val="28"/>
          <w:szCs w:val="28"/>
          <w:lang w:val="el-GR"/>
          <w14:ligatures w14:val="none"/>
        </w:rPr>
        <w:t>η</w:t>
      </w:r>
      <w:r w:rsidRPr="00D04DEE">
        <w:rPr>
          <w:rFonts w:ascii="Bookman Old Style" w:eastAsia="Times New Roman" w:hAnsi="Bookman Old Style" w:cs="Times New Roman"/>
          <w:color w:val="000000"/>
          <w:kern w:val="0"/>
          <w:sz w:val="28"/>
          <w:szCs w:val="28"/>
          <w14:ligatures w14:val="none"/>
        </w:rPr>
        <w:t> </w:t>
      </w:r>
      <w:r>
        <w:rPr>
          <w:rFonts w:ascii="Bookman Old Style" w:eastAsia="Times New Roman" w:hAnsi="Bookman Old Style" w:cs="Times New Roman"/>
          <w:color w:val="000000"/>
          <w:kern w:val="0"/>
          <w:sz w:val="28"/>
          <w:szCs w:val="28"/>
          <w:lang w:val="el-GR"/>
          <w14:ligatures w14:val="none"/>
        </w:rPr>
        <w:t xml:space="preserve">αξιολόγηση της μαρτυρίας </w:t>
      </w:r>
      <w:r w:rsidRPr="00D04DEE">
        <w:rPr>
          <w:rFonts w:ascii="Bookman Old Style" w:eastAsia="Times New Roman" w:hAnsi="Bookman Old Style" w:cs="Times New Roman"/>
          <w:color w:val="000000"/>
          <w:kern w:val="0"/>
          <w:sz w:val="28"/>
          <w:szCs w:val="28"/>
          <w:lang w:val="el-GR"/>
          <w14:ligatures w14:val="none"/>
        </w:rPr>
        <w:t>ανήκει στο πρωτόδικο Δικαστήριο το οποίο είχε την ευκαιρία να ακούσει τους μάρτυρες και να παρακολουθήσει τη συμπεριφορά τους στο εδώλιο του μάρτυρα. Το Εφετείο επεμβαίνει μόνο όταν τα ευρήματα αξιοπιστίας είναι εξ αντικειμένου ανυπόστατα ή παράλογα ή αυθαίρετα. Περαιτέρω, το Εφετείο επεμβαίνει εκεί όπου τα ευρήματα γεγονότων δεν υποστηρίζονται από τη μαρτυρία που το πρωτόδικο Δικαστήριο έχει αποδεχθεί ως αξιόπιστη.</w:t>
      </w:r>
    </w:p>
    <w:p w14:paraId="7F3A9ABA" w14:textId="698C3804" w:rsidR="00B068B1" w:rsidRDefault="000F0B36" w:rsidP="00095549">
      <w:pPr>
        <w:spacing w:before="24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Η εισήγηση της Εφεσίβλητης ότι ο πρώτος λόγος έφεσης δεν μπορεί να εξεταστεί καθότι ο ισχυρισμός του Εφεσείοντα πως δεν υπήρχε όχημα κατά τον ουσιώδη χρόνο δεν περιλαμβάνεται στο δικόγραφο του και δεν προωθήθηκε στην πρωτόδικη διαδικασία</w:t>
      </w:r>
      <w:r w:rsidR="009B78DA">
        <w:rPr>
          <w:rFonts w:ascii="Bookman Old Style" w:eastAsia="Times New Roman" w:hAnsi="Bookman Old Style" w:cs="Times New Roman"/>
          <w:color w:val="000000"/>
          <w:kern w:val="0"/>
          <w:sz w:val="28"/>
          <w:szCs w:val="28"/>
          <w:lang w:val="el-GR"/>
          <w14:ligatures w14:val="none"/>
        </w:rPr>
        <w:t>,</w:t>
      </w:r>
      <w:r w:rsidR="00524D96">
        <w:rPr>
          <w:rFonts w:ascii="Bookman Old Style" w:eastAsia="Times New Roman" w:hAnsi="Bookman Old Style" w:cs="Times New Roman"/>
          <w:color w:val="000000"/>
          <w:kern w:val="0"/>
          <w:sz w:val="28"/>
          <w:szCs w:val="28"/>
          <w:lang w:val="el-GR"/>
          <w14:ligatures w14:val="none"/>
        </w:rPr>
        <w:t xml:space="preserve"> είναι αβάσιμη</w:t>
      </w:r>
      <w:r>
        <w:rPr>
          <w:rFonts w:ascii="Bookman Old Style" w:eastAsia="Times New Roman" w:hAnsi="Bookman Old Style" w:cs="Times New Roman"/>
          <w:color w:val="000000"/>
          <w:kern w:val="0"/>
          <w:sz w:val="28"/>
          <w:szCs w:val="28"/>
          <w:lang w:val="el-GR"/>
          <w14:ligatures w14:val="none"/>
        </w:rPr>
        <w:t xml:space="preserve">. Τέτοιος ισχυρισμός αναφερόταν ρητά στην τροποποιημένη υπεράσπιση και ανταπαίτηση του Εφεσείοντα και υποβλήθηκε ρητά στον </w:t>
      </w:r>
      <w:r w:rsidR="009F6EFC">
        <w:rPr>
          <w:rFonts w:ascii="Bookman Old Style" w:eastAsia="Times New Roman" w:hAnsi="Bookman Old Style" w:cs="Times New Roman"/>
          <w:color w:val="000000"/>
          <w:kern w:val="0"/>
          <w:sz w:val="28"/>
          <w:szCs w:val="28"/>
          <w:lang w:val="el-GR"/>
          <w14:ligatures w14:val="none"/>
        </w:rPr>
        <w:t xml:space="preserve">ΜΕ2, υπάλληλο της Εφεσίβλητης, </w:t>
      </w:r>
      <w:r>
        <w:rPr>
          <w:rFonts w:ascii="Bookman Old Style" w:eastAsia="Times New Roman" w:hAnsi="Bookman Old Style" w:cs="Times New Roman"/>
          <w:color w:val="000000"/>
          <w:kern w:val="0"/>
          <w:sz w:val="28"/>
          <w:szCs w:val="28"/>
          <w:lang w:val="el-GR"/>
          <w14:ligatures w14:val="none"/>
        </w:rPr>
        <w:t xml:space="preserve">κατά την </w:t>
      </w:r>
      <w:proofErr w:type="spellStart"/>
      <w:r>
        <w:rPr>
          <w:rFonts w:ascii="Bookman Old Style" w:eastAsia="Times New Roman" w:hAnsi="Bookman Old Style" w:cs="Times New Roman"/>
          <w:color w:val="000000"/>
          <w:kern w:val="0"/>
          <w:sz w:val="28"/>
          <w:szCs w:val="28"/>
          <w:lang w:val="el-GR"/>
          <w14:ligatures w14:val="none"/>
        </w:rPr>
        <w:t>αντεξέταση</w:t>
      </w:r>
      <w:proofErr w:type="spellEnd"/>
      <w:r>
        <w:rPr>
          <w:rFonts w:ascii="Bookman Old Style" w:eastAsia="Times New Roman" w:hAnsi="Bookman Old Style" w:cs="Times New Roman"/>
          <w:color w:val="000000"/>
          <w:kern w:val="0"/>
          <w:sz w:val="28"/>
          <w:szCs w:val="28"/>
          <w:lang w:val="el-GR"/>
          <w14:ligatures w14:val="none"/>
        </w:rPr>
        <w:t xml:space="preserve"> του. </w:t>
      </w:r>
    </w:p>
    <w:p w14:paraId="2A1B40D8" w14:textId="42CE1B2F" w:rsidR="00082458" w:rsidRDefault="001854B9" w:rsidP="00095549">
      <w:pPr>
        <w:spacing w:before="24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Το </w:t>
      </w:r>
      <w:r w:rsidR="00AE2F90">
        <w:rPr>
          <w:rFonts w:ascii="Bookman Old Style" w:eastAsia="Times New Roman" w:hAnsi="Bookman Old Style" w:cs="Times New Roman"/>
          <w:color w:val="000000"/>
          <w:kern w:val="0"/>
          <w:sz w:val="28"/>
          <w:szCs w:val="28"/>
          <w:lang w:val="el-GR"/>
          <w14:ligatures w14:val="none"/>
        </w:rPr>
        <w:t xml:space="preserve">πρωτόδικο Δικαστήριο </w:t>
      </w:r>
      <w:r w:rsidR="007A71C3">
        <w:rPr>
          <w:rFonts w:ascii="Bookman Old Style" w:eastAsia="Times New Roman" w:hAnsi="Bookman Old Style" w:cs="Times New Roman"/>
          <w:color w:val="000000"/>
          <w:kern w:val="0"/>
          <w:sz w:val="28"/>
          <w:szCs w:val="28"/>
          <w:lang w:val="el-GR"/>
          <w14:ligatures w14:val="none"/>
        </w:rPr>
        <w:t>έκρινε πως</w:t>
      </w:r>
      <w:r w:rsidR="00274A7A">
        <w:rPr>
          <w:rFonts w:ascii="Bookman Old Style" w:eastAsia="Times New Roman" w:hAnsi="Bookman Old Style" w:cs="Times New Roman"/>
          <w:color w:val="000000"/>
          <w:kern w:val="0"/>
          <w:sz w:val="28"/>
          <w:szCs w:val="28"/>
          <w:lang w:val="el-GR"/>
          <w14:ligatures w14:val="none"/>
        </w:rPr>
        <w:t>, παρά την παρέλευση επτά ετών από τα επίδικα γεγονότα,</w:t>
      </w:r>
      <w:r w:rsidR="007A71C3">
        <w:rPr>
          <w:rFonts w:ascii="Bookman Old Style" w:eastAsia="Times New Roman" w:hAnsi="Bookman Old Style" w:cs="Times New Roman"/>
          <w:color w:val="000000"/>
          <w:kern w:val="0"/>
          <w:sz w:val="28"/>
          <w:szCs w:val="28"/>
          <w:lang w:val="el-GR"/>
          <w14:ligatures w14:val="none"/>
        </w:rPr>
        <w:t xml:space="preserve"> </w:t>
      </w:r>
      <w:r>
        <w:rPr>
          <w:rFonts w:ascii="Bookman Old Style" w:eastAsia="Times New Roman" w:hAnsi="Bookman Old Style" w:cs="Times New Roman"/>
          <w:color w:val="000000"/>
          <w:kern w:val="0"/>
          <w:sz w:val="28"/>
          <w:szCs w:val="28"/>
          <w:lang w:val="el-GR"/>
          <w14:ligatures w14:val="none"/>
        </w:rPr>
        <w:t xml:space="preserve">ο ΜΕ2 </w:t>
      </w:r>
      <w:r w:rsidR="007A71C3">
        <w:rPr>
          <w:rFonts w:ascii="Bookman Old Style" w:eastAsia="Times New Roman" w:hAnsi="Bookman Old Style" w:cs="Times New Roman"/>
          <w:color w:val="000000"/>
          <w:kern w:val="0"/>
          <w:sz w:val="28"/>
          <w:szCs w:val="28"/>
          <w:lang w:val="el-GR"/>
          <w14:ligatures w14:val="none"/>
        </w:rPr>
        <w:t>απαντούσε στις ερωτήσεις που του είχαν τεθεί όσο καλύτερα του επέτρεπε η μνήμη του</w:t>
      </w:r>
      <w:r w:rsidR="00650011">
        <w:rPr>
          <w:rFonts w:ascii="Bookman Old Style" w:eastAsia="Times New Roman" w:hAnsi="Bookman Old Style" w:cs="Times New Roman"/>
          <w:color w:val="000000"/>
          <w:kern w:val="0"/>
          <w:sz w:val="28"/>
          <w:szCs w:val="28"/>
          <w:lang w:val="el-GR"/>
          <w14:ligatures w14:val="none"/>
        </w:rPr>
        <w:t xml:space="preserve">, σημειώνοντας ότι </w:t>
      </w:r>
      <w:r w:rsidR="00274A7A">
        <w:rPr>
          <w:rFonts w:ascii="Bookman Old Style" w:eastAsia="Times New Roman" w:hAnsi="Bookman Old Style" w:cs="Times New Roman"/>
          <w:color w:val="000000"/>
          <w:kern w:val="0"/>
          <w:sz w:val="28"/>
          <w:szCs w:val="28"/>
          <w:lang w:val="el-GR"/>
          <w14:ligatures w14:val="none"/>
        </w:rPr>
        <w:t xml:space="preserve">ο ίδιος ανέφερε </w:t>
      </w:r>
      <w:r w:rsidR="00650011">
        <w:rPr>
          <w:rFonts w:ascii="Bookman Old Style" w:eastAsia="Times New Roman" w:hAnsi="Bookman Old Style" w:cs="Times New Roman"/>
          <w:color w:val="000000"/>
          <w:kern w:val="0"/>
          <w:sz w:val="28"/>
          <w:szCs w:val="28"/>
          <w:lang w:val="el-GR"/>
          <w14:ligatures w14:val="none"/>
        </w:rPr>
        <w:t xml:space="preserve">πως </w:t>
      </w:r>
      <w:r w:rsidR="00274A7A">
        <w:rPr>
          <w:rFonts w:ascii="Bookman Old Style" w:eastAsia="Times New Roman" w:hAnsi="Bookman Old Style" w:cs="Times New Roman"/>
          <w:color w:val="000000"/>
          <w:kern w:val="0"/>
          <w:sz w:val="28"/>
          <w:szCs w:val="28"/>
          <w:lang w:val="el-GR"/>
          <w14:ligatures w14:val="none"/>
        </w:rPr>
        <w:t xml:space="preserve">δεν ήταν σε θέση να θυμηθεί απόλυτα </w:t>
      </w:r>
      <w:r w:rsidR="00FA304D">
        <w:rPr>
          <w:rFonts w:ascii="Bookman Old Style" w:eastAsia="Times New Roman" w:hAnsi="Bookman Old Style" w:cs="Times New Roman"/>
          <w:color w:val="000000"/>
          <w:kern w:val="0"/>
          <w:sz w:val="28"/>
          <w:szCs w:val="28"/>
          <w:lang w:val="el-GR"/>
          <w14:ligatures w14:val="none"/>
        </w:rPr>
        <w:t xml:space="preserve">τα γεγονότα </w:t>
      </w:r>
      <w:r w:rsidR="00274A7A">
        <w:rPr>
          <w:rFonts w:ascii="Bookman Old Style" w:eastAsia="Times New Roman" w:hAnsi="Bookman Old Style" w:cs="Times New Roman"/>
          <w:color w:val="000000"/>
          <w:kern w:val="0"/>
          <w:sz w:val="28"/>
          <w:szCs w:val="28"/>
          <w:lang w:val="el-GR"/>
          <w14:ligatures w14:val="none"/>
        </w:rPr>
        <w:lastRenderedPageBreak/>
        <w:t xml:space="preserve">λόγω των πολλών ετών που παρήλθαν. </w:t>
      </w:r>
      <w:r w:rsidR="009E147E">
        <w:rPr>
          <w:rFonts w:ascii="Bookman Old Style" w:eastAsia="Times New Roman" w:hAnsi="Bookman Old Style" w:cs="Times New Roman"/>
          <w:color w:val="000000"/>
          <w:kern w:val="0"/>
          <w:sz w:val="28"/>
          <w:szCs w:val="28"/>
          <w:lang w:val="el-GR"/>
          <w14:ligatures w14:val="none"/>
        </w:rPr>
        <w:t xml:space="preserve">Η μνήμη είναι στοιχείο το οποίο λαμβάνεται υπόψη στο πλαίσιο της αξιολόγησης ενός μάρτυρα, καθότι αφενός είναι εύλογο και αναμενόμενο η μνήμη να </w:t>
      </w:r>
      <w:r w:rsidR="00F00359">
        <w:rPr>
          <w:rFonts w:ascii="Bookman Old Style" w:eastAsia="Times New Roman" w:hAnsi="Bookman Old Style" w:cs="Times New Roman"/>
          <w:color w:val="000000"/>
          <w:kern w:val="0"/>
          <w:sz w:val="28"/>
          <w:szCs w:val="28"/>
          <w:lang w:val="el-GR"/>
          <w14:ligatures w14:val="none"/>
        </w:rPr>
        <w:t xml:space="preserve">εξασθενεί </w:t>
      </w:r>
      <w:r w:rsidR="009E147E">
        <w:rPr>
          <w:rFonts w:ascii="Bookman Old Style" w:eastAsia="Times New Roman" w:hAnsi="Bookman Old Style" w:cs="Times New Roman"/>
          <w:color w:val="000000"/>
          <w:kern w:val="0"/>
          <w:sz w:val="28"/>
          <w:szCs w:val="28"/>
          <w:lang w:val="el-GR"/>
          <w14:ligatures w14:val="none"/>
        </w:rPr>
        <w:t xml:space="preserve">με την πάροδο του χρόνου και αφετέρου στον κάθε άνθρωπο τα γεγονότα εντυπώνονται διαφορετικά, όπως λέχθηκε, μεταξύ άλλων, στην υπόθεση </w:t>
      </w:r>
      <w:r w:rsidR="009E147E" w:rsidRPr="009E147E">
        <w:rPr>
          <w:rFonts w:ascii="Bookman Old Style" w:eastAsia="Times New Roman" w:hAnsi="Bookman Old Style" w:cs="Times New Roman"/>
          <w:b/>
          <w:bCs/>
          <w:i/>
          <w:iCs/>
          <w:color w:val="000000"/>
          <w:kern w:val="0"/>
          <w:sz w:val="28"/>
          <w:szCs w:val="28"/>
          <w:lang w:val="en-GB"/>
          <w14:ligatures w14:val="none"/>
        </w:rPr>
        <w:t>Badar</w:t>
      </w:r>
      <w:r w:rsidR="009E147E" w:rsidRPr="00095549">
        <w:rPr>
          <w:rFonts w:ascii="Bookman Old Style" w:eastAsia="Times New Roman" w:hAnsi="Bookman Old Style" w:cs="Times New Roman"/>
          <w:b/>
          <w:bCs/>
          <w:i/>
          <w:iCs/>
          <w:color w:val="000000"/>
          <w:kern w:val="0"/>
          <w:sz w:val="28"/>
          <w:szCs w:val="28"/>
          <w:lang w:val="el-GR"/>
          <w14:ligatures w14:val="none"/>
        </w:rPr>
        <w:t xml:space="preserve"> </w:t>
      </w:r>
      <w:r w:rsidR="009E147E" w:rsidRPr="009E147E">
        <w:rPr>
          <w:rFonts w:ascii="Bookman Old Style" w:eastAsia="Times New Roman" w:hAnsi="Bookman Old Style" w:cs="Times New Roman"/>
          <w:b/>
          <w:bCs/>
          <w:i/>
          <w:iCs/>
          <w:color w:val="000000"/>
          <w:kern w:val="0"/>
          <w:sz w:val="28"/>
          <w:szCs w:val="28"/>
          <w:lang w:val="en-GB"/>
          <w14:ligatures w14:val="none"/>
        </w:rPr>
        <w:t>v</w:t>
      </w:r>
      <w:r w:rsidR="009E147E" w:rsidRPr="00095549">
        <w:rPr>
          <w:rFonts w:ascii="Bookman Old Style" w:eastAsia="Times New Roman" w:hAnsi="Bookman Old Style" w:cs="Times New Roman"/>
          <w:b/>
          <w:bCs/>
          <w:i/>
          <w:iCs/>
          <w:color w:val="000000"/>
          <w:kern w:val="0"/>
          <w:sz w:val="28"/>
          <w:szCs w:val="28"/>
          <w:lang w:val="el-GR"/>
          <w14:ligatures w14:val="none"/>
        </w:rPr>
        <w:t xml:space="preserve">. </w:t>
      </w:r>
      <w:r w:rsidR="009E147E" w:rsidRPr="009E147E">
        <w:rPr>
          <w:rFonts w:ascii="Bookman Old Style" w:eastAsia="Times New Roman" w:hAnsi="Bookman Old Style" w:cs="Times New Roman"/>
          <w:b/>
          <w:bCs/>
          <w:i/>
          <w:iCs/>
          <w:color w:val="000000"/>
          <w:kern w:val="0"/>
          <w:sz w:val="28"/>
          <w:szCs w:val="28"/>
          <w:lang w:val="el-GR"/>
          <w14:ligatures w14:val="none"/>
        </w:rPr>
        <w:t xml:space="preserve">Ηλία, Πολ. </w:t>
      </w:r>
      <w:proofErr w:type="spellStart"/>
      <w:r w:rsidR="009E147E" w:rsidRPr="009E147E">
        <w:rPr>
          <w:rFonts w:ascii="Bookman Old Style" w:eastAsia="Times New Roman" w:hAnsi="Bookman Old Style" w:cs="Times New Roman"/>
          <w:b/>
          <w:bCs/>
          <w:i/>
          <w:iCs/>
          <w:color w:val="000000"/>
          <w:kern w:val="0"/>
          <w:sz w:val="28"/>
          <w:szCs w:val="28"/>
          <w:lang w:val="el-GR"/>
          <w14:ligatures w14:val="none"/>
        </w:rPr>
        <w:t>Έφ</w:t>
      </w:r>
      <w:proofErr w:type="spellEnd"/>
      <w:r w:rsidR="00CD2ADC">
        <w:rPr>
          <w:rFonts w:ascii="Bookman Old Style" w:eastAsia="Times New Roman" w:hAnsi="Bookman Old Style" w:cs="Times New Roman"/>
          <w:b/>
          <w:bCs/>
          <w:i/>
          <w:iCs/>
          <w:color w:val="000000"/>
          <w:kern w:val="0"/>
          <w:sz w:val="28"/>
          <w:szCs w:val="28"/>
          <w:lang w:val="el-GR"/>
          <w14:ligatures w14:val="none"/>
        </w:rPr>
        <w:t>.</w:t>
      </w:r>
      <w:r w:rsidR="009E147E" w:rsidRPr="009E147E">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9E147E" w:rsidRPr="009E147E">
        <w:rPr>
          <w:rFonts w:ascii="Bookman Old Style" w:eastAsia="Times New Roman" w:hAnsi="Bookman Old Style" w:cs="Times New Roman"/>
          <w:b/>
          <w:bCs/>
          <w:i/>
          <w:iCs/>
          <w:color w:val="000000"/>
          <w:kern w:val="0"/>
          <w:sz w:val="28"/>
          <w:szCs w:val="28"/>
          <w:lang w:val="el-GR"/>
          <w14:ligatures w14:val="none"/>
        </w:rPr>
        <w:t>Αρ</w:t>
      </w:r>
      <w:proofErr w:type="spellEnd"/>
      <w:r w:rsidR="009E147E" w:rsidRPr="009E147E">
        <w:rPr>
          <w:rFonts w:ascii="Bookman Old Style" w:eastAsia="Times New Roman" w:hAnsi="Bookman Old Style" w:cs="Times New Roman"/>
          <w:b/>
          <w:bCs/>
          <w:i/>
          <w:iCs/>
          <w:color w:val="000000"/>
          <w:kern w:val="0"/>
          <w:sz w:val="28"/>
          <w:szCs w:val="28"/>
          <w:lang w:val="el-GR"/>
          <w14:ligatures w14:val="none"/>
        </w:rPr>
        <w:t xml:space="preserve">. 17/2014, </w:t>
      </w:r>
      <w:proofErr w:type="spellStart"/>
      <w:r w:rsidR="009E147E" w:rsidRPr="009E147E">
        <w:rPr>
          <w:rFonts w:ascii="Bookman Old Style" w:eastAsia="Times New Roman" w:hAnsi="Bookman Old Style" w:cs="Times New Roman"/>
          <w:b/>
          <w:bCs/>
          <w:i/>
          <w:iCs/>
          <w:color w:val="000000"/>
          <w:kern w:val="0"/>
          <w:sz w:val="28"/>
          <w:szCs w:val="28"/>
          <w:lang w:val="el-GR"/>
          <w14:ligatures w14:val="none"/>
        </w:rPr>
        <w:t>ημερ</w:t>
      </w:r>
      <w:proofErr w:type="spellEnd"/>
      <w:r w:rsidR="009E147E" w:rsidRPr="009E147E">
        <w:rPr>
          <w:rFonts w:ascii="Bookman Old Style" w:eastAsia="Times New Roman" w:hAnsi="Bookman Old Style" w:cs="Times New Roman"/>
          <w:b/>
          <w:bCs/>
          <w:i/>
          <w:iCs/>
          <w:color w:val="000000"/>
          <w:kern w:val="0"/>
          <w:sz w:val="28"/>
          <w:szCs w:val="28"/>
          <w:lang w:val="el-GR"/>
          <w14:ligatures w14:val="none"/>
        </w:rPr>
        <w:t>. 25.10.2022</w:t>
      </w:r>
      <w:r w:rsidR="009E147E">
        <w:rPr>
          <w:rFonts w:ascii="Bookman Old Style" w:eastAsia="Times New Roman" w:hAnsi="Bookman Old Style" w:cs="Times New Roman"/>
          <w:color w:val="000000"/>
          <w:kern w:val="0"/>
          <w:sz w:val="28"/>
          <w:szCs w:val="28"/>
          <w:lang w:val="el-GR"/>
          <w14:ligatures w14:val="none"/>
        </w:rPr>
        <w:t xml:space="preserve">. </w:t>
      </w:r>
      <w:r w:rsidR="00595B18">
        <w:rPr>
          <w:rFonts w:ascii="Bookman Old Style" w:eastAsia="Times New Roman" w:hAnsi="Bookman Old Style" w:cs="Times New Roman"/>
          <w:color w:val="000000"/>
          <w:kern w:val="0"/>
          <w:sz w:val="28"/>
          <w:szCs w:val="28"/>
          <w:lang w:val="el-GR"/>
          <w14:ligatures w14:val="none"/>
        </w:rPr>
        <w:t xml:space="preserve">Χρήσιμη αναφορά γίνεται και στην υπόθεση </w:t>
      </w:r>
      <w:r w:rsidR="00595B18" w:rsidRPr="00595B18">
        <w:rPr>
          <w:rFonts w:ascii="Bookman Old Style" w:eastAsia="Times New Roman" w:hAnsi="Bookman Old Style" w:cs="Times New Roman"/>
          <w:b/>
          <w:bCs/>
          <w:i/>
          <w:iCs/>
          <w:color w:val="000000"/>
          <w:kern w:val="0"/>
          <w:sz w:val="28"/>
          <w:szCs w:val="28"/>
          <w:lang w:val="el-GR"/>
          <w14:ligatures w14:val="none"/>
        </w:rPr>
        <w:t xml:space="preserve">Αντωνίου </w:t>
      </w:r>
      <w:r w:rsidR="00595B18" w:rsidRPr="00595B18">
        <w:rPr>
          <w:rFonts w:ascii="Bookman Old Style" w:eastAsia="Times New Roman" w:hAnsi="Bookman Old Style" w:cs="Times New Roman"/>
          <w:b/>
          <w:bCs/>
          <w:i/>
          <w:iCs/>
          <w:color w:val="000000"/>
          <w:kern w:val="0"/>
          <w:sz w:val="28"/>
          <w:szCs w:val="28"/>
          <w:lang w:val="en-GB"/>
          <w14:ligatures w14:val="none"/>
        </w:rPr>
        <w:t>v</w:t>
      </w:r>
      <w:r w:rsidR="00595B18" w:rsidRPr="00095549">
        <w:rPr>
          <w:rFonts w:ascii="Bookman Old Style" w:eastAsia="Times New Roman" w:hAnsi="Bookman Old Style" w:cs="Times New Roman"/>
          <w:b/>
          <w:bCs/>
          <w:i/>
          <w:iCs/>
          <w:color w:val="000000"/>
          <w:kern w:val="0"/>
          <w:sz w:val="28"/>
          <w:szCs w:val="28"/>
          <w:lang w:val="el-GR"/>
          <w14:ligatures w14:val="none"/>
        </w:rPr>
        <w:t xml:space="preserve">. </w:t>
      </w:r>
      <w:r w:rsidR="00595B18" w:rsidRPr="00595B18">
        <w:rPr>
          <w:rFonts w:ascii="Bookman Old Style" w:eastAsia="Times New Roman" w:hAnsi="Bookman Old Style" w:cs="Times New Roman"/>
          <w:b/>
          <w:bCs/>
          <w:i/>
          <w:iCs/>
          <w:color w:val="000000"/>
          <w:kern w:val="0"/>
          <w:sz w:val="28"/>
          <w:szCs w:val="28"/>
          <w:lang w:val="en-GB"/>
          <w14:ligatures w14:val="none"/>
        </w:rPr>
        <w:t>A</w:t>
      </w:r>
      <w:r w:rsidR="00595B18" w:rsidRPr="00095549">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595B18" w:rsidRPr="00595B18">
        <w:rPr>
          <w:rFonts w:ascii="Bookman Old Style" w:eastAsia="Times New Roman" w:hAnsi="Bookman Old Style" w:cs="Times New Roman"/>
          <w:b/>
          <w:bCs/>
          <w:i/>
          <w:iCs/>
          <w:color w:val="000000"/>
          <w:kern w:val="0"/>
          <w:sz w:val="28"/>
          <w:szCs w:val="28"/>
          <w:lang w:val="en-GB"/>
          <w14:ligatures w14:val="none"/>
        </w:rPr>
        <w:t>Panagides</w:t>
      </w:r>
      <w:proofErr w:type="spellEnd"/>
      <w:r w:rsidR="00595B18" w:rsidRPr="00095549">
        <w:rPr>
          <w:rFonts w:ascii="Bookman Old Style" w:eastAsia="Times New Roman" w:hAnsi="Bookman Old Style" w:cs="Times New Roman"/>
          <w:b/>
          <w:bCs/>
          <w:i/>
          <w:iCs/>
          <w:color w:val="000000"/>
          <w:kern w:val="0"/>
          <w:sz w:val="28"/>
          <w:szCs w:val="28"/>
          <w:lang w:val="el-GR"/>
          <w14:ligatures w14:val="none"/>
        </w:rPr>
        <w:t xml:space="preserve"> </w:t>
      </w:r>
      <w:r w:rsidR="00595B18" w:rsidRPr="00595B18">
        <w:rPr>
          <w:rFonts w:ascii="Bookman Old Style" w:eastAsia="Times New Roman" w:hAnsi="Bookman Old Style" w:cs="Times New Roman"/>
          <w:b/>
          <w:bCs/>
          <w:i/>
          <w:iCs/>
          <w:color w:val="000000"/>
          <w:kern w:val="0"/>
          <w:sz w:val="28"/>
          <w:szCs w:val="28"/>
          <w:lang w:val="en-GB"/>
          <w14:ligatures w14:val="none"/>
        </w:rPr>
        <w:t>Contracting</w:t>
      </w:r>
      <w:r w:rsidR="00595B18" w:rsidRPr="00095549">
        <w:rPr>
          <w:rFonts w:ascii="Bookman Old Style" w:eastAsia="Times New Roman" w:hAnsi="Bookman Old Style" w:cs="Times New Roman"/>
          <w:b/>
          <w:bCs/>
          <w:i/>
          <w:iCs/>
          <w:color w:val="000000"/>
          <w:kern w:val="0"/>
          <w:sz w:val="28"/>
          <w:szCs w:val="28"/>
          <w:lang w:val="el-GR"/>
          <w14:ligatures w14:val="none"/>
        </w:rPr>
        <w:t xml:space="preserve"> </w:t>
      </w:r>
      <w:r w:rsidR="00595B18" w:rsidRPr="00595B18">
        <w:rPr>
          <w:rFonts w:ascii="Bookman Old Style" w:eastAsia="Times New Roman" w:hAnsi="Bookman Old Style" w:cs="Times New Roman"/>
          <w:b/>
          <w:bCs/>
          <w:i/>
          <w:iCs/>
          <w:color w:val="000000"/>
          <w:kern w:val="0"/>
          <w:sz w:val="28"/>
          <w:szCs w:val="28"/>
          <w:lang w:val="en-GB"/>
          <w14:ligatures w14:val="none"/>
        </w:rPr>
        <w:t>Ltd</w:t>
      </w:r>
      <w:r w:rsidR="00595B18" w:rsidRPr="00095549">
        <w:rPr>
          <w:rFonts w:ascii="Bookman Old Style" w:eastAsia="Times New Roman" w:hAnsi="Bookman Old Style" w:cs="Times New Roman"/>
          <w:b/>
          <w:bCs/>
          <w:i/>
          <w:iCs/>
          <w:color w:val="000000"/>
          <w:kern w:val="0"/>
          <w:sz w:val="28"/>
          <w:szCs w:val="28"/>
          <w:lang w:val="el-GR"/>
          <w14:ligatures w14:val="none"/>
        </w:rPr>
        <w:t xml:space="preserve">, </w:t>
      </w:r>
      <w:r w:rsidR="00595B18" w:rsidRPr="00595B18">
        <w:rPr>
          <w:rFonts w:ascii="Bookman Old Style" w:eastAsia="Times New Roman" w:hAnsi="Bookman Old Style" w:cs="Times New Roman"/>
          <w:b/>
          <w:bCs/>
          <w:i/>
          <w:iCs/>
          <w:color w:val="000000"/>
          <w:kern w:val="0"/>
          <w:sz w:val="28"/>
          <w:szCs w:val="28"/>
          <w:lang w:val="el-GR"/>
          <w14:ligatures w14:val="none"/>
        </w:rPr>
        <w:t xml:space="preserve">Πολ. </w:t>
      </w:r>
      <w:proofErr w:type="spellStart"/>
      <w:r w:rsidR="00595B18" w:rsidRPr="00595B18">
        <w:rPr>
          <w:rFonts w:ascii="Bookman Old Style" w:eastAsia="Times New Roman" w:hAnsi="Bookman Old Style" w:cs="Times New Roman"/>
          <w:b/>
          <w:bCs/>
          <w:i/>
          <w:iCs/>
          <w:color w:val="000000"/>
          <w:kern w:val="0"/>
          <w:sz w:val="28"/>
          <w:szCs w:val="28"/>
          <w:lang w:val="el-GR"/>
          <w14:ligatures w14:val="none"/>
        </w:rPr>
        <w:t>Έφ</w:t>
      </w:r>
      <w:proofErr w:type="spellEnd"/>
      <w:r w:rsidR="00CD2ADC">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595B18" w:rsidRPr="00595B18">
        <w:rPr>
          <w:rFonts w:ascii="Bookman Old Style" w:eastAsia="Times New Roman" w:hAnsi="Bookman Old Style" w:cs="Times New Roman"/>
          <w:b/>
          <w:bCs/>
          <w:i/>
          <w:iCs/>
          <w:color w:val="000000"/>
          <w:kern w:val="0"/>
          <w:sz w:val="28"/>
          <w:szCs w:val="28"/>
          <w:lang w:val="el-GR"/>
          <w14:ligatures w14:val="none"/>
        </w:rPr>
        <w:t>Αρ</w:t>
      </w:r>
      <w:proofErr w:type="spellEnd"/>
      <w:r w:rsidR="00595B18" w:rsidRPr="00595B18">
        <w:rPr>
          <w:rFonts w:ascii="Bookman Old Style" w:eastAsia="Times New Roman" w:hAnsi="Bookman Old Style" w:cs="Times New Roman"/>
          <w:b/>
          <w:bCs/>
          <w:i/>
          <w:iCs/>
          <w:color w:val="000000"/>
          <w:kern w:val="0"/>
          <w:sz w:val="28"/>
          <w:szCs w:val="28"/>
          <w:lang w:val="el-GR"/>
          <w14:ligatures w14:val="none"/>
        </w:rPr>
        <w:t xml:space="preserve">. 259/2011, </w:t>
      </w:r>
      <w:proofErr w:type="spellStart"/>
      <w:r w:rsidR="00595B18" w:rsidRPr="00595B18">
        <w:rPr>
          <w:rFonts w:ascii="Bookman Old Style" w:eastAsia="Times New Roman" w:hAnsi="Bookman Old Style" w:cs="Times New Roman"/>
          <w:b/>
          <w:bCs/>
          <w:i/>
          <w:iCs/>
          <w:color w:val="000000"/>
          <w:kern w:val="0"/>
          <w:sz w:val="28"/>
          <w:szCs w:val="28"/>
          <w:lang w:val="el-GR"/>
          <w14:ligatures w14:val="none"/>
        </w:rPr>
        <w:t>ημερ</w:t>
      </w:r>
      <w:proofErr w:type="spellEnd"/>
      <w:r w:rsidR="00595B18" w:rsidRPr="00595B18">
        <w:rPr>
          <w:rFonts w:ascii="Bookman Old Style" w:eastAsia="Times New Roman" w:hAnsi="Bookman Old Style" w:cs="Times New Roman"/>
          <w:b/>
          <w:bCs/>
          <w:i/>
          <w:iCs/>
          <w:color w:val="000000"/>
          <w:kern w:val="0"/>
          <w:sz w:val="28"/>
          <w:szCs w:val="28"/>
          <w:lang w:val="el-GR"/>
          <w14:ligatures w14:val="none"/>
        </w:rPr>
        <w:t>. 4.10.2017</w:t>
      </w:r>
      <w:r w:rsidR="00595B18">
        <w:rPr>
          <w:rFonts w:ascii="Bookman Old Style" w:eastAsia="Times New Roman" w:hAnsi="Bookman Old Style" w:cs="Times New Roman"/>
          <w:color w:val="000000"/>
          <w:kern w:val="0"/>
          <w:sz w:val="28"/>
          <w:szCs w:val="28"/>
          <w:lang w:val="el-GR"/>
          <w14:ligatures w14:val="none"/>
        </w:rPr>
        <w:t>.</w:t>
      </w:r>
      <w:r w:rsidR="00E534B3">
        <w:rPr>
          <w:rFonts w:ascii="Bookman Old Style" w:eastAsia="Times New Roman" w:hAnsi="Bookman Old Style" w:cs="Times New Roman"/>
          <w:color w:val="000000"/>
          <w:kern w:val="0"/>
          <w:sz w:val="28"/>
          <w:szCs w:val="28"/>
          <w:lang w:val="el-GR"/>
          <w14:ligatures w14:val="none"/>
        </w:rPr>
        <w:t xml:space="preserve"> </w:t>
      </w:r>
    </w:p>
    <w:p w14:paraId="71A580F9" w14:textId="0CC28FC2" w:rsidR="00595B18" w:rsidRPr="00346065" w:rsidRDefault="00274A7A" w:rsidP="00095549">
      <w:pPr>
        <w:spacing w:before="240" w:line="480" w:lineRule="auto"/>
        <w:ind w:firstLine="567"/>
        <w:jc w:val="both"/>
        <w:rPr>
          <w:rFonts w:ascii="Bookman Old Style" w:hAnsi="Bookman Old Style"/>
          <w:color w:val="000000"/>
          <w:sz w:val="28"/>
          <w:szCs w:val="28"/>
          <w:lang w:val="el-GR"/>
        </w:rPr>
      </w:pPr>
      <w:r>
        <w:rPr>
          <w:rFonts w:ascii="Bookman Old Style" w:eastAsia="Times New Roman" w:hAnsi="Bookman Old Style" w:cs="Times New Roman"/>
          <w:color w:val="000000"/>
          <w:kern w:val="0"/>
          <w:sz w:val="28"/>
          <w:szCs w:val="28"/>
          <w:lang w:val="el-GR"/>
          <w14:ligatures w14:val="none"/>
        </w:rPr>
        <w:t xml:space="preserve">Το πρωτόδικο Δικαστήριο δεν παρέλειψε να σχολιάσει την αναφορά του μάρτυρα πως το όχημα, το οποίο </w:t>
      </w:r>
      <w:r w:rsidR="00FC3E0F">
        <w:rPr>
          <w:rFonts w:ascii="Bookman Old Style" w:eastAsia="Times New Roman" w:hAnsi="Bookman Old Style" w:cs="Times New Roman"/>
          <w:color w:val="000000"/>
          <w:kern w:val="0"/>
          <w:sz w:val="28"/>
          <w:szCs w:val="28"/>
          <w:lang w:val="el-GR"/>
          <w14:ligatures w14:val="none"/>
        </w:rPr>
        <w:t xml:space="preserve">ο ίδιος είπε πως </w:t>
      </w:r>
      <w:r>
        <w:rPr>
          <w:rFonts w:ascii="Bookman Old Style" w:eastAsia="Times New Roman" w:hAnsi="Bookman Old Style" w:cs="Times New Roman"/>
          <w:color w:val="000000"/>
          <w:kern w:val="0"/>
          <w:sz w:val="28"/>
          <w:szCs w:val="28"/>
          <w:lang w:val="el-GR"/>
          <w14:ligatures w14:val="none"/>
        </w:rPr>
        <w:t xml:space="preserve">επιθεώρησε, ήταν γκρίζο ή μολυβί, ενώ έγινε παραδεκτό γεγονός ότι ο κωδικός που αναγραφόταν σε σχετικό τιμολόγιο που κατ’ ισχυρισμό αφορούσε το εν λόγω όχημα αντιστοιχούσε σε πράσινο χρώμα. </w:t>
      </w:r>
      <w:r w:rsidR="00131219">
        <w:rPr>
          <w:rFonts w:ascii="Bookman Old Style" w:eastAsia="Times New Roman" w:hAnsi="Bookman Old Style" w:cs="Times New Roman"/>
          <w:color w:val="000000"/>
          <w:kern w:val="0"/>
          <w:sz w:val="28"/>
          <w:szCs w:val="28"/>
          <w:lang w:val="el-GR"/>
          <w14:ligatures w14:val="none"/>
        </w:rPr>
        <w:t xml:space="preserve">Δικαιολογείτο </w:t>
      </w:r>
      <w:r>
        <w:rPr>
          <w:rFonts w:ascii="Bookman Old Style" w:eastAsia="Times New Roman" w:hAnsi="Bookman Old Style" w:cs="Times New Roman"/>
          <w:color w:val="000000"/>
          <w:kern w:val="0"/>
          <w:sz w:val="28"/>
          <w:szCs w:val="28"/>
          <w:lang w:val="el-GR"/>
          <w14:ligatures w14:val="none"/>
        </w:rPr>
        <w:t xml:space="preserve">το πρωτόδικο Δικαστήριο </w:t>
      </w:r>
      <w:r w:rsidR="00131219">
        <w:rPr>
          <w:rFonts w:ascii="Bookman Old Style" w:eastAsia="Times New Roman" w:hAnsi="Bookman Old Style" w:cs="Times New Roman"/>
          <w:color w:val="000000"/>
          <w:kern w:val="0"/>
          <w:sz w:val="28"/>
          <w:szCs w:val="28"/>
          <w:lang w:val="el-GR"/>
          <w14:ligatures w14:val="none"/>
        </w:rPr>
        <w:t xml:space="preserve">να κρίνει </w:t>
      </w:r>
      <w:r>
        <w:rPr>
          <w:rFonts w:ascii="Bookman Old Style" w:eastAsia="Times New Roman" w:hAnsi="Bookman Old Style" w:cs="Times New Roman"/>
          <w:color w:val="000000"/>
          <w:kern w:val="0"/>
          <w:sz w:val="28"/>
          <w:szCs w:val="28"/>
          <w:lang w:val="el-GR"/>
          <w14:ligatures w14:val="none"/>
        </w:rPr>
        <w:t xml:space="preserve">ότι αυτό το ζήτημα είναι επουσιώδες και </w:t>
      </w:r>
      <w:r w:rsidR="00431EE4">
        <w:rPr>
          <w:rFonts w:ascii="Bookman Old Style" w:eastAsia="Times New Roman" w:hAnsi="Bookman Old Style" w:cs="Times New Roman"/>
          <w:color w:val="000000"/>
          <w:kern w:val="0"/>
          <w:sz w:val="28"/>
          <w:szCs w:val="28"/>
          <w:lang w:val="el-GR"/>
          <w14:ligatures w14:val="none"/>
        </w:rPr>
        <w:t xml:space="preserve">ότι </w:t>
      </w:r>
      <w:r>
        <w:rPr>
          <w:rFonts w:ascii="Bookman Old Style" w:eastAsia="Times New Roman" w:hAnsi="Bookman Old Style" w:cs="Times New Roman"/>
          <w:color w:val="000000"/>
          <w:kern w:val="0"/>
          <w:sz w:val="28"/>
          <w:szCs w:val="28"/>
          <w:lang w:val="el-GR"/>
          <w14:ligatures w14:val="none"/>
        </w:rPr>
        <w:t xml:space="preserve">ήταν λογικό η μνήμη του μάρτυρα να είχε εξασθενήσει με την πάροδο του χρόνου. </w:t>
      </w:r>
      <w:r w:rsidR="00F65B38">
        <w:rPr>
          <w:rFonts w:ascii="Bookman Old Style" w:eastAsia="Times New Roman" w:hAnsi="Bookman Old Style" w:cs="Times New Roman"/>
          <w:color w:val="000000"/>
          <w:kern w:val="0"/>
          <w:sz w:val="28"/>
          <w:szCs w:val="28"/>
          <w:lang w:val="el-GR"/>
          <w14:ligatures w14:val="none"/>
        </w:rPr>
        <w:t xml:space="preserve">Είναι </w:t>
      </w:r>
      <w:proofErr w:type="spellStart"/>
      <w:r w:rsidR="00F65B38">
        <w:rPr>
          <w:rFonts w:ascii="Bookman Old Style" w:eastAsia="Times New Roman" w:hAnsi="Bookman Old Style" w:cs="Times New Roman"/>
          <w:color w:val="000000"/>
          <w:kern w:val="0"/>
          <w:sz w:val="28"/>
          <w:szCs w:val="28"/>
          <w:lang w:val="el-GR"/>
          <w14:ligatures w14:val="none"/>
        </w:rPr>
        <w:t>νομολογιακά</w:t>
      </w:r>
      <w:proofErr w:type="spellEnd"/>
      <w:r w:rsidR="00F65B38">
        <w:rPr>
          <w:rFonts w:ascii="Bookman Old Style" w:eastAsia="Times New Roman" w:hAnsi="Bookman Old Style" w:cs="Times New Roman"/>
          <w:color w:val="000000"/>
          <w:kern w:val="0"/>
          <w:sz w:val="28"/>
          <w:szCs w:val="28"/>
          <w:lang w:val="el-GR"/>
          <w14:ligatures w14:val="none"/>
        </w:rPr>
        <w:t xml:space="preserve"> αναγνωρισμένο ότι η αξιολόγηση της μαρτυρίας διενεργείται σφαιρικά και όχι μικροσκοπικά και αποσπασματικά και ότι αντιφάσεις σε επουσιώδη ζητήματα δεν καθιστούν δίχως άλλο τη μαρτυρία αναξιόπιστη. Ενδεικτικά </w:t>
      </w:r>
      <w:r w:rsidR="00F65B38">
        <w:rPr>
          <w:rFonts w:ascii="Bookman Old Style" w:eastAsia="Times New Roman" w:hAnsi="Bookman Old Style" w:cs="Times New Roman"/>
          <w:color w:val="000000"/>
          <w:kern w:val="0"/>
          <w:sz w:val="28"/>
          <w:szCs w:val="28"/>
          <w:lang w:val="el-GR"/>
          <w14:ligatures w14:val="none"/>
        </w:rPr>
        <w:lastRenderedPageBreak/>
        <w:t xml:space="preserve">παραπέμπουμε στις υποθέσεις </w:t>
      </w:r>
      <w:r w:rsidR="00F65B38" w:rsidRPr="00F65B38">
        <w:rPr>
          <w:rFonts w:ascii="Bookman Old Style" w:hAnsi="Bookman Old Style"/>
          <w:b/>
          <w:bCs/>
          <w:i/>
          <w:iCs/>
          <w:color w:val="000000"/>
          <w:sz w:val="28"/>
          <w:szCs w:val="28"/>
          <w:lang w:val="el-GR"/>
        </w:rPr>
        <w:t xml:space="preserve">Χατζηγιάννη </w:t>
      </w:r>
      <w:r w:rsidR="00F65B38" w:rsidRPr="00F65B38">
        <w:rPr>
          <w:rFonts w:ascii="Bookman Old Style" w:hAnsi="Bookman Old Style"/>
          <w:b/>
          <w:bCs/>
          <w:i/>
          <w:iCs/>
          <w:color w:val="000000"/>
          <w:sz w:val="28"/>
          <w:szCs w:val="28"/>
          <w:lang w:val="en-GB"/>
        </w:rPr>
        <w:t>v</w:t>
      </w:r>
      <w:r w:rsidR="00F65B38" w:rsidRPr="00095549">
        <w:rPr>
          <w:rFonts w:ascii="Bookman Old Style" w:hAnsi="Bookman Old Style"/>
          <w:b/>
          <w:bCs/>
          <w:i/>
          <w:iCs/>
          <w:color w:val="000000"/>
          <w:sz w:val="28"/>
          <w:szCs w:val="28"/>
          <w:lang w:val="el-GR"/>
        </w:rPr>
        <w:t xml:space="preserve">. </w:t>
      </w:r>
      <w:proofErr w:type="spellStart"/>
      <w:r w:rsidR="00F65B38" w:rsidRPr="00F65B38">
        <w:rPr>
          <w:rFonts w:ascii="Bookman Old Style" w:hAnsi="Bookman Old Style"/>
          <w:b/>
          <w:bCs/>
          <w:i/>
          <w:iCs/>
          <w:color w:val="000000"/>
          <w:sz w:val="28"/>
          <w:szCs w:val="28"/>
          <w:lang w:val="en-GB"/>
        </w:rPr>
        <w:t>Pitsillides</w:t>
      </w:r>
      <w:proofErr w:type="spellEnd"/>
      <w:r w:rsidR="00F65B38" w:rsidRPr="00095549">
        <w:rPr>
          <w:rFonts w:ascii="Bookman Old Style" w:hAnsi="Bookman Old Style"/>
          <w:b/>
          <w:bCs/>
          <w:i/>
          <w:iCs/>
          <w:color w:val="000000"/>
          <w:sz w:val="28"/>
          <w:szCs w:val="28"/>
          <w:lang w:val="el-GR"/>
        </w:rPr>
        <w:t xml:space="preserve"> </w:t>
      </w:r>
      <w:r w:rsidR="009B78DA">
        <w:rPr>
          <w:rFonts w:ascii="Bookman Old Style" w:hAnsi="Bookman Old Style"/>
          <w:b/>
          <w:bCs/>
          <w:i/>
          <w:iCs/>
          <w:color w:val="000000"/>
          <w:sz w:val="28"/>
          <w:szCs w:val="28"/>
          <w:lang w:val="el-GR"/>
        </w:rPr>
        <w:t>Τ</w:t>
      </w:r>
      <w:proofErr w:type="spellStart"/>
      <w:r w:rsidR="00F65B38" w:rsidRPr="00F65B38">
        <w:rPr>
          <w:rFonts w:ascii="Bookman Old Style" w:hAnsi="Bookman Old Style"/>
          <w:b/>
          <w:bCs/>
          <w:i/>
          <w:iCs/>
          <w:color w:val="000000"/>
          <w:sz w:val="28"/>
          <w:szCs w:val="28"/>
          <w:lang w:val="en-GB"/>
        </w:rPr>
        <w:t>rading</w:t>
      </w:r>
      <w:proofErr w:type="spellEnd"/>
      <w:r w:rsidR="00F65B38" w:rsidRPr="00095549">
        <w:rPr>
          <w:rFonts w:ascii="Bookman Old Style" w:hAnsi="Bookman Old Style"/>
          <w:b/>
          <w:bCs/>
          <w:i/>
          <w:iCs/>
          <w:color w:val="000000"/>
          <w:sz w:val="28"/>
          <w:szCs w:val="28"/>
          <w:lang w:val="el-GR"/>
        </w:rPr>
        <w:t xml:space="preserve"> </w:t>
      </w:r>
      <w:r w:rsidR="00F65B38" w:rsidRPr="00F65B38">
        <w:rPr>
          <w:rFonts w:ascii="Bookman Old Style" w:hAnsi="Bookman Old Style"/>
          <w:b/>
          <w:bCs/>
          <w:i/>
          <w:iCs/>
          <w:color w:val="000000"/>
          <w:sz w:val="28"/>
          <w:szCs w:val="28"/>
          <w:lang w:val="en-GB"/>
        </w:rPr>
        <w:t>Co</w:t>
      </w:r>
      <w:r w:rsidR="00F65B38" w:rsidRPr="00095549">
        <w:rPr>
          <w:rFonts w:ascii="Bookman Old Style" w:hAnsi="Bookman Old Style"/>
          <w:b/>
          <w:bCs/>
          <w:i/>
          <w:iCs/>
          <w:color w:val="000000"/>
          <w:sz w:val="28"/>
          <w:szCs w:val="28"/>
          <w:lang w:val="el-GR"/>
        </w:rPr>
        <w:t xml:space="preserve"> </w:t>
      </w:r>
      <w:r w:rsidR="00F65B38" w:rsidRPr="00F65B38">
        <w:rPr>
          <w:rFonts w:ascii="Bookman Old Style" w:hAnsi="Bookman Old Style"/>
          <w:b/>
          <w:bCs/>
          <w:i/>
          <w:iCs/>
          <w:color w:val="000000"/>
          <w:sz w:val="28"/>
          <w:szCs w:val="28"/>
          <w:lang w:val="en-GB"/>
        </w:rPr>
        <w:t>Ltd</w:t>
      </w:r>
      <w:r w:rsidR="00F65B38" w:rsidRPr="00095549">
        <w:rPr>
          <w:rFonts w:ascii="Bookman Old Style" w:hAnsi="Bookman Old Style"/>
          <w:b/>
          <w:bCs/>
          <w:i/>
          <w:iCs/>
          <w:color w:val="000000"/>
          <w:sz w:val="28"/>
          <w:szCs w:val="28"/>
          <w:lang w:val="el-GR"/>
        </w:rPr>
        <w:t xml:space="preserve"> </w:t>
      </w:r>
      <w:r w:rsidR="00F65B38" w:rsidRPr="00F65B38">
        <w:rPr>
          <w:rFonts w:ascii="Bookman Old Style" w:hAnsi="Bookman Old Style"/>
          <w:b/>
          <w:bCs/>
          <w:i/>
          <w:iCs/>
          <w:color w:val="000000"/>
          <w:sz w:val="28"/>
          <w:szCs w:val="28"/>
          <w:lang w:val="el-GR"/>
        </w:rPr>
        <w:t xml:space="preserve">κ.ά., Πολ. </w:t>
      </w:r>
      <w:proofErr w:type="spellStart"/>
      <w:r w:rsidR="00F65B38" w:rsidRPr="00F65B38">
        <w:rPr>
          <w:rFonts w:ascii="Bookman Old Style" w:hAnsi="Bookman Old Style"/>
          <w:b/>
          <w:bCs/>
          <w:i/>
          <w:iCs/>
          <w:color w:val="000000"/>
          <w:sz w:val="28"/>
          <w:szCs w:val="28"/>
          <w:lang w:val="el-GR"/>
        </w:rPr>
        <w:t>Έφ</w:t>
      </w:r>
      <w:proofErr w:type="spellEnd"/>
      <w:r w:rsidR="00FE2BAE">
        <w:rPr>
          <w:rFonts w:ascii="Bookman Old Style" w:hAnsi="Bookman Old Style"/>
          <w:b/>
          <w:bCs/>
          <w:i/>
          <w:iCs/>
          <w:color w:val="000000"/>
          <w:sz w:val="28"/>
          <w:szCs w:val="28"/>
          <w:lang w:val="el-GR"/>
        </w:rPr>
        <w:t>.</w:t>
      </w:r>
      <w:r w:rsidR="00F65B38" w:rsidRPr="00F65B38">
        <w:rPr>
          <w:rFonts w:ascii="Bookman Old Style" w:hAnsi="Bookman Old Style"/>
          <w:b/>
          <w:bCs/>
          <w:i/>
          <w:iCs/>
          <w:color w:val="000000"/>
          <w:sz w:val="28"/>
          <w:szCs w:val="28"/>
          <w:lang w:val="el-GR"/>
        </w:rPr>
        <w:t xml:space="preserve"> </w:t>
      </w:r>
      <w:proofErr w:type="spellStart"/>
      <w:r w:rsidR="00F65B38" w:rsidRPr="00F65B38">
        <w:rPr>
          <w:rFonts w:ascii="Bookman Old Style" w:hAnsi="Bookman Old Style"/>
          <w:b/>
          <w:bCs/>
          <w:i/>
          <w:iCs/>
          <w:color w:val="000000"/>
          <w:sz w:val="28"/>
          <w:szCs w:val="28"/>
          <w:lang w:val="el-GR"/>
        </w:rPr>
        <w:t>Αρ</w:t>
      </w:r>
      <w:proofErr w:type="spellEnd"/>
      <w:r w:rsidR="00F65B38" w:rsidRPr="00F65B38">
        <w:rPr>
          <w:rFonts w:ascii="Bookman Old Style" w:hAnsi="Bookman Old Style"/>
          <w:b/>
          <w:bCs/>
          <w:i/>
          <w:iCs/>
          <w:color w:val="000000"/>
          <w:sz w:val="28"/>
          <w:szCs w:val="28"/>
          <w:lang w:val="el-GR"/>
        </w:rPr>
        <w:t xml:space="preserve">. 341/2014, </w:t>
      </w:r>
      <w:proofErr w:type="spellStart"/>
      <w:r w:rsidR="00F65B38" w:rsidRPr="00F65B38">
        <w:rPr>
          <w:rFonts w:ascii="Bookman Old Style" w:hAnsi="Bookman Old Style"/>
          <w:b/>
          <w:bCs/>
          <w:i/>
          <w:iCs/>
          <w:color w:val="000000"/>
          <w:sz w:val="28"/>
          <w:szCs w:val="28"/>
          <w:lang w:val="el-GR"/>
        </w:rPr>
        <w:t>ημερ</w:t>
      </w:r>
      <w:proofErr w:type="spellEnd"/>
      <w:r w:rsidR="00F65B38" w:rsidRPr="00F65B38">
        <w:rPr>
          <w:rFonts w:ascii="Bookman Old Style" w:hAnsi="Bookman Old Style"/>
          <w:b/>
          <w:bCs/>
          <w:i/>
          <w:iCs/>
          <w:color w:val="000000"/>
          <w:sz w:val="28"/>
          <w:szCs w:val="28"/>
          <w:lang w:val="el-GR"/>
        </w:rPr>
        <w:t>. 22.5.2023</w:t>
      </w:r>
      <w:r w:rsidR="00F65B38">
        <w:rPr>
          <w:rFonts w:ascii="Bookman Old Style" w:hAnsi="Bookman Old Style"/>
          <w:color w:val="000000"/>
          <w:sz w:val="28"/>
          <w:szCs w:val="28"/>
          <w:lang w:val="el-GR"/>
        </w:rPr>
        <w:t xml:space="preserve">, </w:t>
      </w:r>
      <w:proofErr w:type="spellStart"/>
      <w:r w:rsidR="00F65B38" w:rsidRPr="00F65B38">
        <w:rPr>
          <w:rFonts w:ascii="Bookman Old Style" w:eastAsia="Times New Roman" w:hAnsi="Bookman Old Style" w:cs="Times New Roman"/>
          <w:b/>
          <w:bCs/>
          <w:i/>
          <w:iCs/>
          <w:color w:val="000000"/>
          <w:kern w:val="0"/>
          <w:sz w:val="28"/>
          <w:szCs w:val="28"/>
          <w:lang w:val="el-GR"/>
          <w14:ligatures w14:val="none"/>
        </w:rPr>
        <w:t>Αδάμου</w:t>
      </w:r>
      <w:proofErr w:type="spellEnd"/>
      <w:r w:rsidR="00F65B38" w:rsidRPr="00F65B38">
        <w:rPr>
          <w:rFonts w:ascii="Bookman Old Style" w:eastAsia="Times New Roman" w:hAnsi="Bookman Old Style" w:cs="Times New Roman"/>
          <w:b/>
          <w:bCs/>
          <w:i/>
          <w:iCs/>
          <w:color w:val="000000"/>
          <w:kern w:val="0"/>
          <w:sz w:val="28"/>
          <w:szCs w:val="28"/>
          <w:lang w:val="el-GR"/>
          <w14:ligatures w14:val="none"/>
        </w:rPr>
        <w:t xml:space="preserve">, ως Διαχειρίστριας της Περιουσίας του Αποβιώσαντος </w:t>
      </w:r>
      <w:proofErr w:type="spellStart"/>
      <w:r w:rsidR="00F65B38" w:rsidRPr="00F65B38">
        <w:rPr>
          <w:rFonts w:ascii="Bookman Old Style" w:eastAsia="Times New Roman" w:hAnsi="Bookman Old Style" w:cs="Times New Roman"/>
          <w:b/>
          <w:bCs/>
          <w:i/>
          <w:iCs/>
          <w:color w:val="000000"/>
          <w:kern w:val="0"/>
          <w:sz w:val="28"/>
          <w:szCs w:val="28"/>
          <w:lang w:val="el-GR"/>
          <w14:ligatures w14:val="none"/>
        </w:rPr>
        <w:t>Αδάμου</w:t>
      </w:r>
      <w:proofErr w:type="spellEnd"/>
      <w:r w:rsidR="00F65B38" w:rsidRPr="00F65B38">
        <w:rPr>
          <w:rFonts w:ascii="Bookman Old Style" w:eastAsia="Times New Roman" w:hAnsi="Bookman Old Style" w:cs="Times New Roman"/>
          <w:b/>
          <w:bCs/>
          <w:i/>
          <w:iCs/>
          <w:color w:val="000000"/>
          <w:kern w:val="0"/>
          <w:sz w:val="28"/>
          <w:szCs w:val="28"/>
          <w:lang w:val="el-GR"/>
          <w14:ligatures w14:val="none"/>
        </w:rPr>
        <w:t xml:space="preserve"> Κυριάκου </w:t>
      </w:r>
      <w:r w:rsidR="00F65B38" w:rsidRPr="00F65B38">
        <w:rPr>
          <w:rFonts w:ascii="Bookman Old Style" w:eastAsia="Times New Roman" w:hAnsi="Bookman Old Style" w:cs="Times New Roman"/>
          <w:b/>
          <w:bCs/>
          <w:i/>
          <w:iCs/>
          <w:color w:val="000000"/>
          <w:kern w:val="0"/>
          <w:sz w:val="28"/>
          <w:szCs w:val="28"/>
          <w:lang w:val="en-GB"/>
          <w14:ligatures w14:val="none"/>
        </w:rPr>
        <w:t>v</w:t>
      </w:r>
      <w:r w:rsidR="00F65B38" w:rsidRPr="00095549">
        <w:rPr>
          <w:rFonts w:ascii="Bookman Old Style" w:eastAsia="Times New Roman" w:hAnsi="Bookman Old Style" w:cs="Times New Roman"/>
          <w:b/>
          <w:bCs/>
          <w:i/>
          <w:iCs/>
          <w:color w:val="000000"/>
          <w:kern w:val="0"/>
          <w:sz w:val="28"/>
          <w:szCs w:val="28"/>
          <w:lang w:val="el-GR"/>
          <w14:ligatures w14:val="none"/>
        </w:rPr>
        <w:t xml:space="preserve">. </w:t>
      </w:r>
      <w:r w:rsidR="00F65B38" w:rsidRPr="00F65B38">
        <w:rPr>
          <w:rFonts w:ascii="Bookman Old Style" w:eastAsia="Times New Roman" w:hAnsi="Bookman Old Style" w:cs="Times New Roman"/>
          <w:b/>
          <w:bCs/>
          <w:i/>
          <w:iCs/>
          <w:color w:val="000000"/>
          <w:kern w:val="0"/>
          <w:sz w:val="28"/>
          <w:szCs w:val="28"/>
          <w:lang w:val="el-GR"/>
          <w14:ligatures w14:val="none"/>
        </w:rPr>
        <w:t xml:space="preserve">Γεωργίου, Πολ. </w:t>
      </w:r>
      <w:proofErr w:type="spellStart"/>
      <w:r w:rsidR="00F65B38" w:rsidRPr="00F65B38">
        <w:rPr>
          <w:rFonts w:ascii="Bookman Old Style" w:eastAsia="Times New Roman" w:hAnsi="Bookman Old Style" w:cs="Times New Roman"/>
          <w:b/>
          <w:bCs/>
          <w:i/>
          <w:iCs/>
          <w:color w:val="000000"/>
          <w:kern w:val="0"/>
          <w:sz w:val="28"/>
          <w:szCs w:val="28"/>
          <w:lang w:val="el-GR"/>
          <w14:ligatures w14:val="none"/>
        </w:rPr>
        <w:t>Έφ</w:t>
      </w:r>
      <w:proofErr w:type="spellEnd"/>
      <w:r w:rsidR="00FE2BAE">
        <w:rPr>
          <w:rFonts w:ascii="Bookman Old Style" w:eastAsia="Times New Roman" w:hAnsi="Bookman Old Style" w:cs="Times New Roman"/>
          <w:b/>
          <w:bCs/>
          <w:i/>
          <w:iCs/>
          <w:color w:val="000000"/>
          <w:kern w:val="0"/>
          <w:sz w:val="28"/>
          <w:szCs w:val="28"/>
          <w:lang w:val="el-GR"/>
          <w14:ligatures w14:val="none"/>
        </w:rPr>
        <w:t>.</w:t>
      </w:r>
      <w:r w:rsidR="00F65B38" w:rsidRPr="00F65B38">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F65B38" w:rsidRPr="00F65B38">
        <w:rPr>
          <w:rFonts w:ascii="Bookman Old Style" w:eastAsia="Times New Roman" w:hAnsi="Bookman Old Style" w:cs="Times New Roman"/>
          <w:b/>
          <w:bCs/>
          <w:i/>
          <w:iCs/>
          <w:color w:val="000000"/>
          <w:kern w:val="0"/>
          <w:sz w:val="28"/>
          <w:szCs w:val="28"/>
          <w:lang w:val="el-GR"/>
          <w14:ligatures w14:val="none"/>
        </w:rPr>
        <w:t>Αρ</w:t>
      </w:r>
      <w:proofErr w:type="spellEnd"/>
      <w:r w:rsidR="00F65B38" w:rsidRPr="00F65B38">
        <w:rPr>
          <w:rFonts w:ascii="Bookman Old Style" w:eastAsia="Times New Roman" w:hAnsi="Bookman Old Style" w:cs="Times New Roman"/>
          <w:b/>
          <w:bCs/>
          <w:i/>
          <w:iCs/>
          <w:color w:val="000000"/>
          <w:kern w:val="0"/>
          <w:sz w:val="28"/>
          <w:szCs w:val="28"/>
          <w:lang w:val="el-GR"/>
          <w14:ligatures w14:val="none"/>
        </w:rPr>
        <w:t xml:space="preserve">. 68/2014, </w:t>
      </w:r>
      <w:proofErr w:type="spellStart"/>
      <w:r w:rsidR="00F65B38" w:rsidRPr="00F65B38">
        <w:rPr>
          <w:rFonts w:ascii="Bookman Old Style" w:eastAsia="Times New Roman" w:hAnsi="Bookman Old Style" w:cs="Times New Roman"/>
          <w:b/>
          <w:bCs/>
          <w:i/>
          <w:iCs/>
          <w:color w:val="000000"/>
          <w:kern w:val="0"/>
          <w:sz w:val="28"/>
          <w:szCs w:val="28"/>
          <w:lang w:val="el-GR"/>
          <w14:ligatures w14:val="none"/>
        </w:rPr>
        <w:t>ημερ</w:t>
      </w:r>
      <w:proofErr w:type="spellEnd"/>
      <w:r w:rsidR="00F65B38" w:rsidRPr="00F65B38">
        <w:rPr>
          <w:rFonts w:ascii="Bookman Old Style" w:eastAsia="Times New Roman" w:hAnsi="Bookman Old Style" w:cs="Times New Roman"/>
          <w:b/>
          <w:bCs/>
          <w:i/>
          <w:iCs/>
          <w:color w:val="000000"/>
          <w:kern w:val="0"/>
          <w:sz w:val="28"/>
          <w:szCs w:val="28"/>
          <w:lang w:val="el-GR"/>
          <w14:ligatures w14:val="none"/>
        </w:rPr>
        <w:t>. 30.9.2021</w:t>
      </w:r>
      <w:r w:rsidR="00F65B38">
        <w:rPr>
          <w:rFonts w:ascii="Bookman Old Style" w:eastAsia="Times New Roman" w:hAnsi="Bookman Old Style" w:cs="Times New Roman"/>
          <w:color w:val="000000"/>
          <w:kern w:val="0"/>
          <w:sz w:val="28"/>
          <w:szCs w:val="28"/>
          <w:lang w:val="el-GR"/>
          <w14:ligatures w14:val="none"/>
        </w:rPr>
        <w:t xml:space="preserve"> και </w:t>
      </w:r>
      <w:r w:rsidR="00F65B38" w:rsidRPr="00F65B38">
        <w:rPr>
          <w:rFonts w:ascii="Bookman Old Style" w:eastAsia="Times New Roman" w:hAnsi="Bookman Old Style" w:cs="Times New Roman"/>
          <w:b/>
          <w:bCs/>
          <w:i/>
          <w:iCs/>
          <w:color w:val="000000"/>
          <w:kern w:val="0"/>
          <w:sz w:val="28"/>
          <w:szCs w:val="28"/>
          <w:lang w:val="en-GB"/>
          <w14:ligatures w14:val="none"/>
        </w:rPr>
        <w:t>O</w:t>
      </w:r>
      <w:r w:rsidR="00F65B38" w:rsidRPr="00095549">
        <w:rPr>
          <w:rFonts w:ascii="Bookman Old Style" w:eastAsia="Times New Roman" w:hAnsi="Bookman Old Style" w:cs="Times New Roman"/>
          <w:b/>
          <w:bCs/>
          <w:i/>
          <w:iCs/>
          <w:color w:val="000000"/>
          <w:kern w:val="0"/>
          <w:sz w:val="28"/>
          <w:szCs w:val="28"/>
          <w:lang w:val="el-GR"/>
          <w14:ligatures w14:val="none"/>
        </w:rPr>
        <w:t>’</w:t>
      </w:r>
      <w:r w:rsidR="00F65B38" w:rsidRPr="00F65B38">
        <w:rPr>
          <w:rFonts w:ascii="Bookman Old Style" w:eastAsia="Times New Roman" w:hAnsi="Bookman Old Style" w:cs="Times New Roman"/>
          <w:b/>
          <w:bCs/>
          <w:i/>
          <w:iCs/>
          <w:color w:val="000000"/>
          <w:kern w:val="0"/>
          <w:sz w:val="28"/>
          <w:szCs w:val="28"/>
          <w:lang w:val="en-GB"/>
          <w14:ligatures w14:val="none"/>
        </w:rPr>
        <w:t>Dwyer</w:t>
      </w:r>
      <w:r w:rsidR="00F65B38" w:rsidRPr="00095549">
        <w:rPr>
          <w:rFonts w:ascii="Bookman Old Style" w:eastAsia="Times New Roman" w:hAnsi="Bookman Old Style" w:cs="Times New Roman"/>
          <w:b/>
          <w:bCs/>
          <w:i/>
          <w:iCs/>
          <w:color w:val="000000"/>
          <w:kern w:val="0"/>
          <w:sz w:val="28"/>
          <w:szCs w:val="28"/>
          <w:lang w:val="el-GR"/>
          <w14:ligatures w14:val="none"/>
        </w:rPr>
        <w:t xml:space="preserve"> </w:t>
      </w:r>
      <w:r w:rsidR="00F65B38" w:rsidRPr="00F65B38">
        <w:rPr>
          <w:rFonts w:ascii="Bookman Old Style" w:eastAsia="Times New Roman" w:hAnsi="Bookman Old Style" w:cs="Times New Roman"/>
          <w:b/>
          <w:bCs/>
          <w:i/>
          <w:iCs/>
          <w:color w:val="000000"/>
          <w:kern w:val="0"/>
          <w:sz w:val="28"/>
          <w:szCs w:val="28"/>
          <w:lang w:val="el-GR"/>
          <w14:ligatures w14:val="none"/>
        </w:rPr>
        <w:t xml:space="preserve">κ.ά. </w:t>
      </w:r>
      <w:r w:rsidR="00F65B38" w:rsidRPr="00F65B38">
        <w:rPr>
          <w:rFonts w:ascii="Bookman Old Style" w:eastAsia="Times New Roman" w:hAnsi="Bookman Old Style" w:cs="Times New Roman"/>
          <w:b/>
          <w:bCs/>
          <w:i/>
          <w:iCs/>
          <w:color w:val="000000"/>
          <w:kern w:val="0"/>
          <w:sz w:val="28"/>
          <w:szCs w:val="28"/>
          <w:lang w:val="en-GB"/>
          <w14:ligatures w14:val="none"/>
        </w:rPr>
        <w:t>v</w:t>
      </w:r>
      <w:r w:rsidR="00F65B38" w:rsidRPr="00095549">
        <w:rPr>
          <w:rFonts w:ascii="Bookman Old Style" w:eastAsia="Times New Roman" w:hAnsi="Bookman Old Style" w:cs="Times New Roman"/>
          <w:b/>
          <w:bCs/>
          <w:i/>
          <w:iCs/>
          <w:color w:val="000000"/>
          <w:kern w:val="0"/>
          <w:sz w:val="28"/>
          <w:szCs w:val="28"/>
          <w:lang w:val="el-GR"/>
          <w14:ligatures w14:val="none"/>
        </w:rPr>
        <w:t xml:space="preserve">. </w:t>
      </w:r>
      <w:r w:rsidR="00F65B38" w:rsidRPr="00F65B38">
        <w:rPr>
          <w:rFonts w:ascii="Bookman Old Style" w:eastAsia="Times New Roman" w:hAnsi="Bookman Old Style" w:cs="Times New Roman"/>
          <w:b/>
          <w:bCs/>
          <w:i/>
          <w:iCs/>
          <w:color w:val="000000"/>
          <w:kern w:val="0"/>
          <w:sz w:val="28"/>
          <w:szCs w:val="28"/>
          <w:lang w:val="el-GR"/>
          <w14:ligatures w14:val="none"/>
        </w:rPr>
        <w:t xml:space="preserve">Χριστόφορος </w:t>
      </w:r>
      <w:proofErr w:type="spellStart"/>
      <w:r w:rsidR="00F65B38" w:rsidRPr="00F65B38">
        <w:rPr>
          <w:rFonts w:ascii="Bookman Old Style" w:eastAsia="Times New Roman" w:hAnsi="Bookman Old Style" w:cs="Times New Roman"/>
          <w:b/>
          <w:bCs/>
          <w:i/>
          <w:iCs/>
          <w:color w:val="000000"/>
          <w:kern w:val="0"/>
          <w:sz w:val="28"/>
          <w:szCs w:val="28"/>
          <w:lang w:val="el-GR"/>
          <w14:ligatures w14:val="none"/>
        </w:rPr>
        <w:t>Καραγιαννάς</w:t>
      </w:r>
      <w:proofErr w:type="spellEnd"/>
      <w:r w:rsidR="00F65B38" w:rsidRPr="00F65B38">
        <w:rPr>
          <w:rFonts w:ascii="Bookman Old Style" w:eastAsia="Times New Roman" w:hAnsi="Bookman Old Style" w:cs="Times New Roman"/>
          <w:b/>
          <w:bCs/>
          <w:i/>
          <w:iCs/>
          <w:color w:val="000000"/>
          <w:kern w:val="0"/>
          <w:sz w:val="28"/>
          <w:szCs w:val="28"/>
          <w:lang w:val="el-GR"/>
          <w14:ligatures w14:val="none"/>
        </w:rPr>
        <w:t xml:space="preserve"> &amp; Υιός </w:t>
      </w:r>
      <w:proofErr w:type="spellStart"/>
      <w:r w:rsidR="00F65B38" w:rsidRPr="00F65B38">
        <w:rPr>
          <w:rFonts w:ascii="Bookman Old Style" w:eastAsia="Times New Roman" w:hAnsi="Bookman Old Style" w:cs="Times New Roman"/>
          <w:b/>
          <w:bCs/>
          <w:i/>
          <w:iCs/>
          <w:color w:val="000000"/>
          <w:kern w:val="0"/>
          <w:sz w:val="28"/>
          <w:szCs w:val="28"/>
          <w:lang w:val="el-GR"/>
          <w14:ligatures w14:val="none"/>
        </w:rPr>
        <w:t>Λτδ</w:t>
      </w:r>
      <w:proofErr w:type="spellEnd"/>
      <w:r w:rsidR="00F65B38" w:rsidRPr="00F65B38">
        <w:rPr>
          <w:rFonts w:ascii="Bookman Old Style" w:eastAsia="Times New Roman" w:hAnsi="Bookman Old Style" w:cs="Times New Roman"/>
          <w:b/>
          <w:bCs/>
          <w:i/>
          <w:iCs/>
          <w:color w:val="000000"/>
          <w:kern w:val="0"/>
          <w:sz w:val="28"/>
          <w:szCs w:val="28"/>
          <w:lang w:val="el-GR"/>
          <w14:ligatures w14:val="none"/>
        </w:rPr>
        <w:t xml:space="preserve">, Πολ. </w:t>
      </w:r>
      <w:proofErr w:type="spellStart"/>
      <w:r w:rsidR="00F65B38" w:rsidRPr="00F65B38">
        <w:rPr>
          <w:rFonts w:ascii="Bookman Old Style" w:eastAsia="Times New Roman" w:hAnsi="Bookman Old Style" w:cs="Times New Roman"/>
          <w:b/>
          <w:bCs/>
          <w:i/>
          <w:iCs/>
          <w:color w:val="000000"/>
          <w:kern w:val="0"/>
          <w:sz w:val="28"/>
          <w:szCs w:val="28"/>
          <w:lang w:val="el-GR"/>
          <w14:ligatures w14:val="none"/>
        </w:rPr>
        <w:t>Έφ</w:t>
      </w:r>
      <w:proofErr w:type="spellEnd"/>
      <w:r w:rsidR="00FE2BAE">
        <w:rPr>
          <w:rFonts w:ascii="Bookman Old Style" w:eastAsia="Times New Roman" w:hAnsi="Bookman Old Style" w:cs="Times New Roman"/>
          <w:b/>
          <w:bCs/>
          <w:i/>
          <w:iCs/>
          <w:color w:val="000000"/>
          <w:kern w:val="0"/>
          <w:sz w:val="28"/>
          <w:szCs w:val="28"/>
          <w:lang w:val="el-GR"/>
          <w14:ligatures w14:val="none"/>
        </w:rPr>
        <w:t>.</w:t>
      </w:r>
      <w:r w:rsidR="00F65B38" w:rsidRPr="00F65B38">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F65B38" w:rsidRPr="00F65B38">
        <w:rPr>
          <w:rFonts w:ascii="Bookman Old Style" w:eastAsia="Times New Roman" w:hAnsi="Bookman Old Style" w:cs="Times New Roman"/>
          <w:b/>
          <w:bCs/>
          <w:i/>
          <w:iCs/>
          <w:color w:val="000000"/>
          <w:kern w:val="0"/>
          <w:sz w:val="28"/>
          <w:szCs w:val="28"/>
          <w:lang w:val="el-GR"/>
          <w14:ligatures w14:val="none"/>
        </w:rPr>
        <w:t>Αρ</w:t>
      </w:r>
      <w:proofErr w:type="spellEnd"/>
      <w:r w:rsidR="00F65B38" w:rsidRPr="00F65B38">
        <w:rPr>
          <w:rFonts w:ascii="Bookman Old Style" w:eastAsia="Times New Roman" w:hAnsi="Bookman Old Style" w:cs="Times New Roman"/>
          <w:b/>
          <w:bCs/>
          <w:i/>
          <w:iCs/>
          <w:color w:val="000000"/>
          <w:kern w:val="0"/>
          <w:sz w:val="28"/>
          <w:szCs w:val="28"/>
          <w:lang w:val="el-GR"/>
          <w14:ligatures w14:val="none"/>
        </w:rPr>
        <w:t xml:space="preserve">. 435/2012, </w:t>
      </w:r>
      <w:proofErr w:type="spellStart"/>
      <w:r w:rsidR="00F65B38" w:rsidRPr="00F65B38">
        <w:rPr>
          <w:rFonts w:ascii="Bookman Old Style" w:eastAsia="Times New Roman" w:hAnsi="Bookman Old Style" w:cs="Times New Roman"/>
          <w:b/>
          <w:bCs/>
          <w:i/>
          <w:iCs/>
          <w:color w:val="000000"/>
          <w:kern w:val="0"/>
          <w:sz w:val="28"/>
          <w:szCs w:val="28"/>
          <w:lang w:val="el-GR"/>
          <w14:ligatures w14:val="none"/>
        </w:rPr>
        <w:t>ημερ</w:t>
      </w:r>
      <w:proofErr w:type="spellEnd"/>
      <w:r w:rsidR="00F65B38" w:rsidRPr="00F65B38">
        <w:rPr>
          <w:rFonts w:ascii="Bookman Old Style" w:eastAsia="Times New Roman" w:hAnsi="Bookman Old Style" w:cs="Times New Roman"/>
          <w:b/>
          <w:bCs/>
          <w:i/>
          <w:iCs/>
          <w:color w:val="000000"/>
          <w:kern w:val="0"/>
          <w:sz w:val="28"/>
          <w:szCs w:val="28"/>
          <w:lang w:val="el-GR"/>
          <w14:ligatures w14:val="none"/>
        </w:rPr>
        <w:t>. 21.2.2020</w:t>
      </w:r>
      <w:r w:rsidR="00F65B38" w:rsidRPr="00F65B38">
        <w:rPr>
          <w:rFonts w:ascii="Bookman Old Style" w:eastAsia="Times New Roman" w:hAnsi="Bookman Old Style" w:cs="Times New Roman"/>
          <w:color w:val="000000"/>
          <w:kern w:val="0"/>
          <w:sz w:val="28"/>
          <w:szCs w:val="28"/>
          <w:lang w:val="el-GR"/>
          <w14:ligatures w14:val="none"/>
        </w:rPr>
        <w:t xml:space="preserve">. </w:t>
      </w:r>
    </w:p>
    <w:p w14:paraId="2D03769A" w14:textId="2435283B" w:rsidR="00254632" w:rsidRDefault="00274A7A" w:rsidP="00095549">
      <w:pPr>
        <w:spacing w:before="24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Το πρωτόδικο Δικαστήριο ορθά αξιολόγησε τη μαρτυρία του</w:t>
      </w:r>
      <w:r w:rsidR="00F3047C">
        <w:rPr>
          <w:rFonts w:ascii="Bookman Old Style" w:eastAsia="Times New Roman" w:hAnsi="Bookman Old Style" w:cs="Times New Roman"/>
          <w:color w:val="000000"/>
          <w:kern w:val="0"/>
          <w:sz w:val="28"/>
          <w:szCs w:val="28"/>
          <w:lang w:val="el-GR"/>
          <w14:ligatures w14:val="none"/>
        </w:rPr>
        <w:t xml:space="preserve"> ΜΕ2</w:t>
      </w:r>
      <w:r w:rsidR="00431EE4">
        <w:rPr>
          <w:rFonts w:ascii="Bookman Old Style" w:eastAsia="Times New Roman" w:hAnsi="Bookman Old Style" w:cs="Times New Roman"/>
          <w:color w:val="000000"/>
          <w:kern w:val="0"/>
          <w:sz w:val="28"/>
          <w:szCs w:val="28"/>
          <w:lang w:val="el-GR"/>
          <w14:ligatures w14:val="none"/>
        </w:rPr>
        <w:t>,</w:t>
      </w:r>
      <w:r>
        <w:rPr>
          <w:rFonts w:ascii="Bookman Old Style" w:eastAsia="Times New Roman" w:hAnsi="Bookman Old Style" w:cs="Times New Roman"/>
          <w:color w:val="000000"/>
          <w:kern w:val="0"/>
          <w:sz w:val="28"/>
          <w:szCs w:val="28"/>
          <w:lang w:val="el-GR"/>
          <w14:ligatures w14:val="none"/>
        </w:rPr>
        <w:t xml:space="preserve"> ιδωμένη υπό το πρίσμα του συνόλου αυτής και θεωρώντας ότι η εν λόγω αντίφαση δεν αφορούσε στην ουσία της μαρτυρίας του </w:t>
      </w:r>
      <w:r w:rsidR="007A05EA">
        <w:rPr>
          <w:rFonts w:ascii="Bookman Old Style" w:eastAsia="Times New Roman" w:hAnsi="Bookman Old Style" w:cs="Times New Roman"/>
          <w:color w:val="000000"/>
          <w:kern w:val="0"/>
          <w:sz w:val="28"/>
          <w:szCs w:val="28"/>
          <w:lang w:val="el-GR"/>
          <w14:ligatures w14:val="none"/>
        </w:rPr>
        <w:t xml:space="preserve">αλλά σε ζήτημα για το οποίο </w:t>
      </w:r>
      <w:r>
        <w:rPr>
          <w:rFonts w:ascii="Bookman Old Style" w:eastAsia="Times New Roman" w:hAnsi="Bookman Old Style" w:cs="Times New Roman"/>
          <w:color w:val="000000"/>
          <w:kern w:val="0"/>
          <w:sz w:val="28"/>
          <w:szCs w:val="28"/>
          <w:lang w:val="el-GR"/>
          <w14:ligatures w14:val="none"/>
        </w:rPr>
        <w:t xml:space="preserve">ήταν αναμενόμενο να </w:t>
      </w:r>
      <w:r w:rsidR="00827017">
        <w:rPr>
          <w:rFonts w:ascii="Bookman Old Style" w:eastAsia="Times New Roman" w:hAnsi="Bookman Old Style" w:cs="Times New Roman"/>
          <w:color w:val="000000"/>
          <w:kern w:val="0"/>
          <w:sz w:val="28"/>
          <w:szCs w:val="28"/>
          <w:lang w:val="el-GR"/>
          <w14:ligatures w14:val="none"/>
        </w:rPr>
        <w:t xml:space="preserve">εξασθενήσει </w:t>
      </w:r>
      <w:r w:rsidR="007A05EA">
        <w:rPr>
          <w:rFonts w:ascii="Bookman Old Style" w:eastAsia="Times New Roman" w:hAnsi="Bookman Old Style" w:cs="Times New Roman"/>
          <w:color w:val="000000"/>
          <w:kern w:val="0"/>
          <w:sz w:val="28"/>
          <w:szCs w:val="28"/>
          <w:lang w:val="el-GR"/>
          <w14:ligatures w14:val="none"/>
        </w:rPr>
        <w:t>η</w:t>
      </w:r>
      <w:r>
        <w:rPr>
          <w:rFonts w:ascii="Bookman Old Style" w:eastAsia="Times New Roman" w:hAnsi="Bookman Old Style" w:cs="Times New Roman"/>
          <w:color w:val="000000"/>
          <w:kern w:val="0"/>
          <w:sz w:val="28"/>
          <w:szCs w:val="28"/>
          <w:lang w:val="el-GR"/>
          <w14:ligatures w14:val="none"/>
        </w:rPr>
        <w:t xml:space="preserve"> μνήμη του μάρτυρα</w:t>
      </w:r>
      <w:r w:rsidR="002849F7">
        <w:rPr>
          <w:rFonts w:ascii="Bookman Old Style" w:eastAsia="Times New Roman" w:hAnsi="Bookman Old Style" w:cs="Times New Roman"/>
          <w:color w:val="000000"/>
          <w:kern w:val="0"/>
          <w:sz w:val="28"/>
          <w:szCs w:val="28"/>
          <w:lang w:val="el-GR"/>
          <w14:ligatures w14:val="none"/>
        </w:rPr>
        <w:t xml:space="preserve"> με την πάροδο του χρόνου</w:t>
      </w:r>
      <w:r>
        <w:rPr>
          <w:rFonts w:ascii="Bookman Old Style" w:eastAsia="Times New Roman" w:hAnsi="Bookman Old Style" w:cs="Times New Roman"/>
          <w:color w:val="000000"/>
          <w:kern w:val="0"/>
          <w:sz w:val="28"/>
          <w:szCs w:val="28"/>
          <w:lang w:val="el-GR"/>
          <w14:ligatures w14:val="none"/>
        </w:rPr>
        <w:t xml:space="preserve">. </w:t>
      </w:r>
      <w:proofErr w:type="spellStart"/>
      <w:r>
        <w:rPr>
          <w:rFonts w:ascii="Bookman Old Style" w:eastAsia="Times New Roman" w:hAnsi="Bookman Old Style" w:cs="Times New Roman"/>
          <w:color w:val="000000"/>
          <w:kern w:val="0"/>
          <w:sz w:val="28"/>
          <w:szCs w:val="28"/>
          <w:lang w:val="el-GR"/>
          <w14:ligatures w14:val="none"/>
        </w:rPr>
        <w:t>Εξού</w:t>
      </w:r>
      <w:proofErr w:type="spellEnd"/>
      <w:r>
        <w:rPr>
          <w:rFonts w:ascii="Bookman Old Style" w:eastAsia="Times New Roman" w:hAnsi="Bookman Old Style" w:cs="Times New Roman"/>
          <w:color w:val="000000"/>
          <w:kern w:val="0"/>
          <w:sz w:val="28"/>
          <w:szCs w:val="28"/>
          <w:lang w:val="el-GR"/>
          <w14:ligatures w14:val="none"/>
        </w:rPr>
        <w:t xml:space="preserve"> και απέδωσε ιδιαίτερη σημασία στην αναφορά και επιμονή του στο ουσιώδες ζήτημα ότι είδε και κοστολόγησε το όχημα, στο οποίο, όπως δήλωσε και το πρωτόδικο Δικαστήριο, παρέμεινε σταθερός </w:t>
      </w:r>
      <w:proofErr w:type="spellStart"/>
      <w:r>
        <w:rPr>
          <w:rFonts w:ascii="Bookman Old Style" w:eastAsia="Times New Roman" w:hAnsi="Bookman Old Style" w:cs="Times New Roman"/>
          <w:color w:val="000000"/>
          <w:kern w:val="0"/>
          <w:sz w:val="28"/>
          <w:szCs w:val="28"/>
          <w:lang w:val="el-GR"/>
          <w14:ligatures w14:val="none"/>
        </w:rPr>
        <w:t>καθόλη</w:t>
      </w:r>
      <w:proofErr w:type="spellEnd"/>
      <w:r>
        <w:rPr>
          <w:rFonts w:ascii="Bookman Old Style" w:eastAsia="Times New Roman" w:hAnsi="Bookman Old Style" w:cs="Times New Roman"/>
          <w:color w:val="000000"/>
          <w:kern w:val="0"/>
          <w:sz w:val="28"/>
          <w:szCs w:val="28"/>
          <w:lang w:val="el-GR"/>
          <w14:ligatures w14:val="none"/>
        </w:rPr>
        <w:t xml:space="preserve"> τη μαρτυρία του. </w:t>
      </w:r>
    </w:p>
    <w:p w14:paraId="5A7B2ABE" w14:textId="70AA9125" w:rsidR="004B089B" w:rsidRDefault="00812ABD" w:rsidP="00095549">
      <w:pPr>
        <w:spacing w:before="24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Ο Εφεσείων παρέπεμψε σε διάφορα σημεία της μαρτυρίας του εν λόγω μάρτυρα </w:t>
      </w:r>
      <w:r w:rsidR="00992EFA">
        <w:rPr>
          <w:rFonts w:ascii="Bookman Old Style" w:eastAsia="Times New Roman" w:hAnsi="Bookman Old Style" w:cs="Times New Roman"/>
          <w:color w:val="000000"/>
          <w:kern w:val="0"/>
          <w:sz w:val="28"/>
          <w:szCs w:val="28"/>
          <w:lang w:val="el-GR"/>
          <w14:ligatures w14:val="none"/>
        </w:rPr>
        <w:t xml:space="preserve">προσπαθώντας </w:t>
      </w:r>
      <w:r>
        <w:rPr>
          <w:rFonts w:ascii="Bookman Old Style" w:eastAsia="Times New Roman" w:hAnsi="Bookman Old Style" w:cs="Times New Roman"/>
          <w:color w:val="000000"/>
          <w:kern w:val="0"/>
          <w:sz w:val="28"/>
          <w:szCs w:val="28"/>
          <w:lang w:val="el-GR"/>
          <w14:ligatures w14:val="none"/>
        </w:rPr>
        <w:t xml:space="preserve">να καταδείξει ότι ο ίδιος ο μάρτυρας αναγνώρισε πως η επίδικη συμφωνία ήταν εικονική και δεν υπήρχε αντικείμενο αυτής. </w:t>
      </w:r>
      <w:r w:rsidR="0025066B">
        <w:rPr>
          <w:rFonts w:ascii="Bookman Old Style" w:eastAsia="Times New Roman" w:hAnsi="Bookman Old Style" w:cs="Times New Roman"/>
          <w:color w:val="000000"/>
          <w:kern w:val="0"/>
          <w:sz w:val="28"/>
          <w:szCs w:val="28"/>
          <w:lang w:val="el-GR"/>
          <w14:ligatures w14:val="none"/>
        </w:rPr>
        <w:t xml:space="preserve">Θεωρούμε ότι αυτή η μαρτυρία δεν καταδεικνύει κάτι τέτοιο αλλά επιβεβαιώνει τη βασική θέση του μάρτυρα, ήτοι ότι η </w:t>
      </w:r>
      <w:r w:rsidR="0025066B">
        <w:rPr>
          <w:rFonts w:ascii="Bookman Old Style" w:eastAsia="Times New Roman" w:hAnsi="Bookman Old Style" w:cs="Times New Roman"/>
          <w:color w:val="000000"/>
          <w:kern w:val="0"/>
          <w:sz w:val="28"/>
          <w:szCs w:val="28"/>
          <w:lang w:val="el-GR"/>
          <w14:ligatures w14:val="none"/>
        </w:rPr>
        <w:lastRenderedPageBreak/>
        <w:t xml:space="preserve">συμφωνία </w:t>
      </w:r>
      <w:proofErr w:type="spellStart"/>
      <w:r w:rsidR="0025066B">
        <w:rPr>
          <w:rFonts w:ascii="Bookman Old Style" w:eastAsia="Times New Roman" w:hAnsi="Bookman Old Style" w:cs="Times New Roman"/>
          <w:color w:val="000000"/>
          <w:kern w:val="0"/>
          <w:sz w:val="28"/>
          <w:szCs w:val="28"/>
          <w:lang w:val="el-GR"/>
          <w14:ligatures w14:val="none"/>
        </w:rPr>
        <w:t>συνήφθη</w:t>
      </w:r>
      <w:proofErr w:type="spellEnd"/>
      <w:r w:rsidR="0025066B">
        <w:rPr>
          <w:rFonts w:ascii="Bookman Old Style" w:eastAsia="Times New Roman" w:hAnsi="Bookman Old Style" w:cs="Times New Roman"/>
          <w:color w:val="000000"/>
          <w:kern w:val="0"/>
          <w:sz w:val="28"/>
          <w:szCs w:val="28"/>
          <w:lang w:val="el-GR"/>
          <w14:ligatures w14:val="none"/>
        </w:rPr>
        <w:t xml:space="preserve"> για τη χρηματοδότηση της αγοράς ενός υπαρκτού οχήματος το οποίο επιθεωρήθηκε από τον ίδιο για σκοπούς σύναψης της συμφωνίας. </w:t>
      </w:r>
      <w:r w:rsidR="006A014D">
        <w:rPr>
          <w:rFonts w:ascii="Bookman Old Style" w:eastAsia="Times New Roman" w:hAnsi="Bookman Old Style" w:cs="Times New Roman"/>
          <w:color w:val="000000"/>
          <w:kern w:val="0"/>
          <w:sz w:val="28"/>
          <w:szCs w:val="28"/>
          <w:lang w:val="el-GR"/>
          <w14:ligatures w14:val="none"/>
        </w:rPr>
        <w:t xml:space="preserve">Ειδικότερα, </w:t>
      </w:r>
      <w:r w:rsidR="008F443D">
        <w:rPr>
          <w:rFonts w:ascii="Bookman Old Style" w:eastAsia="Times New Roman" w:hAnsi="Bookman Old Style" w:cs="Times New Roman"/>
          <w:color w:val="000000"/>
          <w:kern w:val="0"/>
          <w:sz w:val="28"/>
          <w:szCs w:val="28"/>
          <w:lang w:val="el-GR"/>
          <w14:ligatures w14:val="none"/>
        </w:rPr>
        <w:t>ο Εφεσείων παρέπεμψε στ</w:t>
      </w:r>
      <w:r w:rsidR="006A014D">
        <w:rPr>
          <w:rFonts w:ascii="Bookman Old Style" w:eastAsia="Times New Roman" w:hAnsi="Bookman Old Style" w:cs="Times New Roman"/>
          <w:color w:val="000000"/>
          <w:kern w:val="0"/>
          <w:sz w:val="28"/>
          <w:szCs w:val="28"/>
          <w:lang w:val="el-GR"/>
          <w14:ligatures w14:val="none"/>
        </w:rPr>
        <w:t>η</w:t>
      </w:r>
      <w:r w:rsidR="008F443D">
        <w:rPr>
          <w:rFonts w:ascii="Bookman Old Style" w:eastAsia="Times New Roman" w:hAnsi="Bookman Old Style" w:cs="Times New Roman"/>
          <w:color w:val="000000"/>
          <w:kern w:val="0"/>
          <w:sz w:val="28"/>
          <w:szCs w:val="28"/>
          <w:lang w:val="el-GR"/>
          <w14:ligatures w14:val="none"/>
        </w:rPr>
        <w:t xml:space="preserve">ν αναφορά </w:t>
      </w:r>
      <w:r w:rsidR="006A014D">
        <w:rPr>
          <w:rFonts w:ascii="Bookman Old Style" w:eastAsia="Times New Roman" w:hAnsi="Bookman Old Style" w:cs="Times New Roman"/>
          <w:color w:val="000000"/>
          <w:kern w:val="0"/>
          <w:sz w:val="28"/>
          <w:szCs w:val="28"/>
          <w:lang w:val="el-GR"/>
          <w14:ligatures w14:val="none"/>
        </w:rPr>
        <w:t xml:space="preserve">του ΜΕ2 πως ο εναγόμενος 1 ζήτησε χρηματοδότηση ύψους </w:t>
      </w:r>
      <w:r w:rsidR="008F443D">
        <w:rPr>
          <w:rFonts w:ascii="Bookman Old Style" w:eastAsia="Times New Roman" w:hAnsi="Bookman Old Style" w:cs="Times New Roman"/>
          <w:color w:val="000000"/>
          <w:kern w:val="0"/>
          <w:sz w:val="28"/>
          <w:szCs w:val="28"/>
          <w:lang w:val="el-GR"/>
          <w14:ligatures w14:val="none"/>
        </w:rPr>
        <w:t xml:space="preserve">€12.000, του ζητήθηκε αντικείμενο για τη χρηματοδότηση και αυτός πρότεινε και παρουσίασε το όχημα κατά το στάδιο της χρηματοδότησης. Αυτή η αναφορά ουδόλως καταδεικνύει πως επρόκειτο για συμφωνία δανειοδότησης και </w:t>
      </w:r>
      <w:r w:rsidR="009758CC">
        <w:rPr>
          <w:rFonts w:ascii="Bookman Old Style" w:eastAsia="Times New Roman" w:hAnsi="Bookman Old Style" w:cs="Times New Roman"/>
          <w:color w:val="000000"/>
          <w:kern w:val="0"/>
          <w:sz w:val="28"/>
          <w:szCs w:val="28"/>
          <w:lang w:val="el-GR"/>
          <w14:ligatures w14:val="none"/>
        </w:rPr>
        <w:t xml:space="preserve">πως </w:t>
      </w:r>
      <w:r w:rsidR="008F443D">
        <w:rPr>
          <w:rFonts w:ascii="Bookman Old Style" w:eastAsia="Times New Roman" w:hAnsi="Bookman Old Style" w:cs="Times New Roman"/>
          <w:color w:val="000000"/>
          <w:kern w:val="0"/>
          <w:sz w:val="28"/>
          <w:szCs w:val="28"/>
          <w:lang w:val="el-GR"/>
          <w14:ligatures w14:val="none"/>
        </w:rPr>
        <w:t xml:space="preserve">η Εφεσίβλητη δεν ενδιαφερόταν για το όχημα. Και τούτο, καθότι ο Εφεσείων παραγνωρίζει την υπόλοιπη μαρτυρία του ΜΕ2 πως ο ίδιος ζήτησε την παρουσίαση του αντικειμένου της χρηματοδότησης, </w:t>
      </w:r>
      <w:r w:rsidR="009758CC">
        <w:rPr>
          <w:rFonts w:ascii="Bookman Old Style" w:eastAsia="Times New Roman" w:hAnsi="Bookman Old Style" w:cs="Times New Roman"/>
          <w:color w:val="000000"/>
          <w:kern w:val="0"/>
          <w:sz w:val="28"/>
          <w:szCs w:val="28"/>
          <w:lang w:val="el-GR"/>
          <w14:ligatures w14:val="none"/>
        </w:rPr>
        <w:t xml:space="preserve">πως </w:t>
      </w:r>
      <w:r w:rsidR="008F443D">
        <w:rPr>
          <w:rFonts w:ascii="Bookman Old Style" w:eastAsia="Times New Roman" w:hAnsi="Bookman Old Style" w:cs="Times New Roman"/>
          <w:color w:val="000000"/>
          <w:kern w:val="0"/>
          <w:sz w:val="28"/>
          <w:szCs w:val="28"/>
          <w:lang w:val="el-GR"/>
          <w14:ligatures w14:val="none"/>
        </w:rPr>
        <w:t xml:space="preserve">ο ίδιος μαζί με συνάδελφο του επιθεώρησαν και κοστολόγησαν το όχημα και </w:t>
      </w:r>
      <w:r w:rsidR="009758CC">
        <w:rPr>
          <w:rFonts w:ascii="Bookman Old Style" w:eastAsia="Times New Roman" w:hAnsi="Bookman Old Style" w:cs="Times New Roman"/>
          <w:color w:val="000000"/>
          <w:kern w:val="0"/>
          <w:sz w:val="28"/>
          <w:szCs w:val="28"/>
          <w:lang w:val="el-GR"/>
          <w14:ligatures w14:val="none"/>
        </w:rPr>
        <w:t xml:space="preserve">πως </w:t>
      </w:r>
      <w:r w:rsidR="008F443D">
        <w:rPr>
          <w:rFonts w:ascii="Bookman Old Style" w:eastAsia="Times New Roman" w:hAnsi="Bookman Old Style" w:cs="Times New Roman"/>
          <w:color w:val="000000"/>
          <w:kern w:val="0"/>
          <w:sz w:val="28"/>
          <w:szCs w:val="28"/>
          <w:lang w:val="el-GR"/>
          <w14:ligatures w14:val="none"/>
        </w:rPr>
        <w:t xml:space="preserve">κατέληξαν ότι η αξία του ήταν τέτοια που εξασφάλιζε την Εφεσίβλητη για την αιτούμενη χρηματοδότηση και τη σύναψη της επίδικης συμφωνία </w:t>
      </w:r>
      <w:proofErr w:type="spellStart"/>
      <w:r w:rsidR="008F443D">
        <w:rPr>
          <w:rFonts w:ascii="Bookman Old Style" w:eastAsia="Times New Roman" w:hAnsi="Bookman Old Style" w:cs="Times New Roman"/>
          <w:color w:val="000000"/>
          <w:kern w:val="0"/>
          <w:sz w:val="28"/>
          <w:szCs w:val="28"/>
          <w:lang w:val="el-GR"/>
          <w14:ligatures w14:val="none"/>
        </w:rPr>
        <w:t>ενοικιαγοράς</w:t>
      </w:r>
      <w:proofErr w:type="spellEnd"/>
      <w:r w:rsidR="008F443D">
        <w:rPr>
          <w:rFonts w:ascii="Bookman Old Style" w:eastAsia="Times New Roman" w:hAnsi="Bookman Old Style" w:cs="Times New Roman"/>
          <w:color w:val="000000"/>
          <w:kern w:val="0"/>
          <w:sz w:val="28"/>
          <w:szCs w:val="28"/>
          <w:lang w:val="el-GR"/>
          <w14:ligatures w14:val="none"/>
        </w:rPr>
        <w:t xml:space="preserve">. </w:t>
      </w:r>
      <w:r w:rsidR="00C769CE">
        <w:rPr>
          <w:rFonts w:ascii="Bookman Old Style" w:eastAsia="Times New Roman" w:hAnsi="Bookman Old Style" w:cs="Times New Roman"/>
          <w:color w:val="000000"/>
          <w:kern w:val="0"/>
          <w:sz w:val="28"/>
          <w:szCs w:val="28"/>
          <w:lang w:val="el-GR"/>
          <w14:ligatures w14:val="none"/>
        </w:rPr>
        <w:t xml:space="preserve">Ο Εφεσείων παρέπεμψε στην αναφορά του μάρτυρα πως δεν γνώριζε κατά πόσο το όχημα υπήρχε κατά τον χρόνο που κατέθεσε ενώπιον του πρωτόδικου Δικαστηρίου. Διαφωνούμε με τον Εφεσείοντα ότι αυτή η αναφορά αντιφάσκει με την τοποθέτηση του περί ύπαρξης και επιθεώρησης του οχήματος κατά τον χρόνο της κατάρτισης της συμφωνίας </w:t>
      </w:r>
      <w:proofErr w:type="spellStart"/>
      <w:r w:rsidR="00C769CE">
        <w:rPr>
          <w:rFonts w:ascii="Bookman Old Style" w:eastAsia="Times New Roman" w:hAnsi="Bookman Old Style" w:cs="Times New Roman"/>
          <w:color w:val="000000"/>
          <w:kern w:val="0"/>
          <w:sz w:val="28"/>
          <w:szCs w:val="28"/>
          <w:lang w:val="el-GR"/>
          <w14:ligatures w14:val="none"/>
        </w:rPr>
        <w:t>ενοικιαγοράς</w:t>
      </w:r>
      <w:proofErr w:type="spellEnd"/>
      <w:r w:rsidR="00133478">
        <w:rPr>
          <w:rFonts w:ascii="Bookman Old Style" w:eastAsia="Times New Roman" w:hAnsi="Bookman Old Style" w:cs="Times New Roman"/>
          <w:color w:val="000000"/>
          <w:kern w:val="0"/>
          <w:sz w:val="28"/>
          <w:szCs w:val="28"/>
          <w:lang w:val="el-GR"/>
          <w14:ligatures w14:val="none"/>
        </w:rPr>
        <w:t xml:space="preserve"> </w:t>
      </w:r>
      <w:r w:rsidR="00133478">
        <w:rPr>
          <w:rFonts w:ascii="Bookman Old Style" w:eastAsia="Times New Roman" w:hAnsi="Bookman Old Style" w:cs="Times New Roman"/>
          <w:color w:val="000000"/>
          <w:kern w:val="0"/>
          <w:sz w:val="28"/>
          <w:szCs w:val="28"/>
          <w:lang w:val="el-GR"/>
          <w14:ligatures w14:val="none"/>
        </w:rPr>
        <w:lastRenderedPageBreak/>
        <w:t>τόσα χρόνια προηγουμένως</w:t>
      </w:r>
      <w:r w:rsidR="00C769CE">
        <w:rPr>
          <w:rFonts w:ascii="Bookman Old Style" w:eastAsia="Times New Roman" w:hAnsi="Bookman Old Style" w:cs="Times New Roman"/>
          <w:color w:val="000000"/>
          <w:kern w:val="0"/>
          <w:sz w:val="28"/>
          <w:szCs w:val="28"/>
          <w:lang w:val="el-GR"/>
          <w14:ligatures w14:val="none"/>
        </w:rPr>
        <w:t xml:space="preserve">, για το οποίο παρέμεινε σταθερός και αμετάκλητος. </w:t>
      </w:r>
    </w:p>
    <w:p w14:paraId="4AFC530C" w14:textId="2E8649F4" w:rsidR="00765B0E" w:rsidRDefault="004B089B" w:rsidP="00095549">
      <w:pPr>
        <w:spacing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Ο ΜΕ2 ουδέποτε ανέφερε ότι πάντοτε απαιτείτο η κοστολόγηση από ειδικούς, ως εισηγείται</w:t>
      </w:r>
      <w:r w:rsidR="008F443D">
        <w:rPr>
          <w:rFonts w:ascii="Bookman Old Style" w:eastAsia="Times New Roman" w:hAnsi="Bookman Old Style" w:cs="Times New Roman"/>
          <w:color w:val="000000"/>
          <w:kern w:val="0"/>
          <w:sz w:val="28"/>
          <w:szCs w:val="28"/>
          <w:lang w:val="el-GR"/>
          <w14:ligatures w14:val="none"/>
        </w:rPr>
        <w:t xml:space="preserve"> </w:t>
      </w:r>
      <w:r>
        <w:rPr>
          <w:rFonts w:ascii="Bookman Old Style" w:eastAsia="Times New Roman" w:hAnsi="Bookman Old Style" w:cs="Times New Roman"/>
          <w:color w:val="000000"/>
          <w:kern w:val="0"/>
          <w:sz w:val="28"/>
          <w:szCs w:val="28"/>
          <w:lang w:val="el-GR"/>
          <w14:ligatures w14:val="none"/>
        </w:rPr>
        <w:t xml:space="preserve">ο Εφεσείων. Εκείνο το οποίο ανέφερε ο μάρτυρας ήταν τη συνήθη πρακτική της Εφεσίβλητης </w:t>
      </w:r>
      <w:r w:rsidR="0025751F">
        <w:rPr>
          <w:rFonts w:ascii="Bookman Old Style" w:eastAsia="Times New Roman" w:hAnsi="Bookman Old Style" w:cs="Times New Roman"/>
          <w:color w:val="000000"/>
          <w:kern w:val="0"/>
          <w:sz w:val="28"/>
          <w:szCs w:val="28"/>
          <w:lang w:val="el-GR"/>
          <w14:ligatures w14:val="none"/>
        </w:rPr>
        <w:t xml:space="preserve">για </w:t>
      </w:r>
      <w:r>
        <w:rPr>
          <w:rFonts w:ascii="Bookman Old Style" w:eastAsia="Times New Roman" w:hAnsi="Bookman Old Style" w:cs="Times New Roman"/>
          <w:color w:val="000000"/>
          <w:kern w:val="0"/>
          <w:sz w:val="28"/>
          <w:szCs w:val="28"/>
          <w:lang w:val="el-GR"/>
          <w14:ligatures w14:val="none"/>
        </w:rPr>
        <w:t>την επιθεώρηση της κατάστασης του οχήματος, π.χ. αν έχει κτυπήματα και αν είναι σε καλή κατάσταση</w:t>
      </w:r>
      <w:r w:rsidR="00291FB0">
        <w:rPr>
          <w:rFonts w:ascii="Bookman Old Style" w:eastAsia="Times New Roman" w:hAnsi="Bookman Old Style" w:cs="Times New Roman"/>
          <w:color w:val="000000"/>
          <w:kern w:val="0"/>
          <w:sz w:val="28"/>
          <w:szCs w:val="28"/>
          <w:lang w:val="el-GR"/>
          <w14:ligatures w14:val="none"/>
        </w:rPr>
        <w:t>,</w:t>
      </w:r>
      <w:r>
        <w:rPr>
          <w:rFonts w:ascii="Bookman Old Style" w:eastAsia="Times New Roman" w:hAnsi="Bookman Old Style" w:cs="Times New Roman"/>
          <w:color w:val="000000"/>
          <w:kern w:val="0"/>
          <w:sz w:val="28"/>
          <w:szCs w:val="28"/>
          <w:lang w:val="el-GR"/>
          <w14:ligatures w14:val="none"/>
        </w:rPr>
        <w:t xml:space="preserve"> και ακολούθως </w:t>
      </w:r>
      <w:r w:rsidR="0025751F">
        <w:rPr>
          <w:rFonts w:ascii="Bookman Old Style" w:eastAsia="Times New Roman" w:hAnsi="Bookman Old Style" w:cs="Times New Roman"/>
          <w:color w:val="000000"/>
          <w:kern w:val="0"/>
          <w:sz w:val="28"/>
          <w:szCs w:val="28"/>
          <w:lang w:val="el-GR"/>
          <w14:ligatures w14:val="none"/>
        </w:rPr>
        <w:t xml:space="preserve">για </w:t>
      </w:r>
      <w:r>
        <w:rPr>
          <w:rFonts w:ascii="Bookman Old Style" w:eastAsia="Times New Roman" w:hAnsi="Bookman Old Style" w:cs="Times New Roman"/>
          <w:color w:val="000000"/>
          <w:kern w:val="0"/>
          <w:sz w:val="28"/>
          <w:szCs w:val="28"/>
          <w:lang w:val="el-GR"/>
          <w14:ligatures w14:val="none"/>
        </w:rPr>
        <w:t>την κοστολόγηση αυτού αφού λά</w:t>
      </w:r>
      <w:r w:rsidR="000C08F4">
        <w:rPr>
          <w:rFonts w:ascii="Bookman Old Style" w:eastAsia="Times New Roman" w:hAnsi="Bookman Old Style" w:cs="Times New Roman"/>
          <w:color w:val="000000"/>
          <w:kern w:val="0"/>
          <w:sz w:val="28"/>
          <w:szCs w:val="28"/>
          <w:lang w:val="el-GR"/>
          <w14:ligatures w14:val="none"/>
        </w:rPr>
        <w:t>β</w:t>
      </w:r>
      <w:r>
        <w:rPr>
          <w:rFonts w:ascii="Bookman Old Style" w:eastAsia="Times New Roman" w:hAnsi="Bookman Old Style" w:cs="Times New Roman"/>
          <w:color w:val="000000"/>
          <w:kern w:val="0"/>
          <w:sz w:val="28"/>
          <w:szCs w:val="28"/>
          <w:lang w:val="el-GR"/>
          <w14:ligatures w14:val="none"/>
        </w:rPr>
        <w:t xml:space="preserve">ουν και τη γνώμη ειδικών, σημειώνοντας ότι στην προκειμένη περίπτωση δεν χρειάστηκε η γνώμη ειδικού και ότι η κοστολόγηση έγινε από τον ίδιο και συνάδελφο του. Η αναφορά του πως πιθανόν η αξία του οχήματος να ήταν </w:t>
      </w:r>
      <w:r w:rsidR="008B20E8">
        <w:rPr>
          <w:rFonts w:ascii="Bookman Old Style" w:eastAsia="Times New Roman" w:hAnsi="Bookman Old Style" w:cs="Times New Roman"/>
          <w:color w:val="000000"/>
          <w:kern w:val="0"/>
          <w:sz w:val="28"/>
          <w:szCs w:val="28"/>
          <w:lang w:val="el-GR"/>
          <w14:ligatures w14:val="none"/>
        </w:rPr>
        <w:t xml:space="preserve">€18.000, και πάλι ουδόλως καταδεικνύει ότι η Εφεσίβλητη δεν ενδιαφερόταν για το όχημα και την αξία του, ως η θέση του Εφεσείοντα. Αντιθέτως, εκείνο το οποίο δήλωσε ο ΜΕ2 ήταν πως από τη στιγμή που το όχημα άξιζε τουλάχιστον </w:t>
      </w:r>
      <w:r w:rsidR="00BE56A8">
        <w:rPr>
          <w:rFonts w:ascii="Bookman Old Style" w:eastAsia="Times New Roman" w:hAnsi="Bookman Old Style" w:cs="Times New Roman"/>
          <w:color w:val="000000"/>
          <w:kern w:val="0"/>
          <w:sz w:val="28"/>
          <w:szCs w:val="28"/>
          <w:lang w:val="el-GR"/>
          <w14:ligatures w14:val="none"/>
        </w:rPr>
        <w:t xml:space="preserve">€12.000, τότε η Εφεσίβλητη ήταν εξασφαλισμένη για τη χρηματοδότηση του εν λόγω ποσού χωρίς να ήταν αναγκαία η απαίτηση για επιπρόσθετη εξασφάλιση πέραν του οχήματος. </w:t>
      </w:r>
      <w:r w:rsidR="00BD4B3E">
        <w:rPr>
          <w:rFonts w:ascii="Bookman Old Style" w:eastAsia="Times New Roman" w:hAnsi="Bookman Old Style" w:cs="Times New Roman"/>
          <w:color w:val="000000"/>
          <w:kern w:val="0"/>
          <w:sz w:val="28"/>
          <w:szCs w:val="28"/>
          <w:lang w:val="el-GR"/>
          <w14:ligatures w14:val="none"/>
        </w:rPr>
        <w:t xml:space="preserve">Ούτε και η θέση πως η κοστολόγηση έγινε βάσει του </w:t>
      </w:r>
      <w:r w:rsidR="00BB6E8B">
        <w:rPr>
          <w:rFonts w:ascii="Bookman Old Style" w:eastAsia="Times New Roman" w:hAnsi="Bookman Old Style" w:cs="Times New Roman"/>
          <w:color w:val="000000"/>
          <w:kern w:val="0"/>
          <w:sz w:val="28"/>
          <w:szCs w:val="28"/>
          <w:lang w:val="el-GR"/>
          <w14:ligatures w14:val="none"/>
        </w:rPr>
        <w:t xml:space="preserve">ειδικού </w:t>
      </w:r>
      <w:r w:rsidR="00BD4B3E">
        <w:rPr>
          <w:rFonts w:ascii="Bookman Old Style" w:eastAsia="Times New Roman" w:hAnsi="Bookman Old Style" w:cs="Times New Roman"/>
          <w:color w:val="000000"/>
          <w:kern w:val="0"/>
          <w:sz w:val="28"/>
          <w:szCs w:val="28"/>
          <w:lang w:val="el-GR"/>
          <w14:ligatures w14:val="none"/>
        </w:rPr>
        <w:t xml:space="preserve">εγγράφου </w:t>
      </w:r>
      <w:r w:rsidR="00BB6E8B">
        <w:rPr>
          <w:rFonts w:ascii="Bookman Old Style" w:eastAsia="Times New Roman" w:hAnsi="Bookman Old Style" w:cs="Times New Roman"/>
          <w:color w:val="000000"/>
          <w:kern w:val="0"/>
          <w:sz w:val="28"/>
          <w:szCs w:val="28"/>
          <w14:ligatures w14:val="none"/>
        </w:rPr>
        <w:t>C</w:t>
      </w:r>
      <w:r w:rsidR="00BB6E8B" w:rsidRPr="00BB6E8B">
        <w:rPr>
          <w:rFonts w:ascii="Bookman Old Style" w:eastAsia="Times New Roman" w:hAnsi="Bookman Old Style" w:cs="Times New Roman"/>
          <w:color w:val="000000"/>
          <w:kern w:val="0"/>
          <w:sz w:val="28"/>
          <w:szCs w:val="28"/>
          <w:lang w:val="el-GR"/>
          <w14:ligatures w14:val="none"/>
        </w:rPr>
        <w:t>7</w:t>
      </w:r>
      <w:r w:rsidR="00BB6E8B" w:rsidRPr="00E501AF">
        <w:rPr>
          <w:rFonts w:ascii="Bookman Old Style" w:eastAsia="Times New Roman" w:hAnsi="Bookman Old Style" w:cs="Times New Roman"/>
          <w:color w:val="000000"/>
          <w:kern w:val="0"/>
          <w:sz w:val="28"/>
          <w:szCs w:val="28"/>
          <w:lang w:val="el-GR"/>
          <w14:ligatures w14:val="none"/>
        </w:rPr>
        <w:t>2</w:t>
      </w:r>
      <w:r w:rsidR="00E501AF" w:rsidRPr="00E501AF">
        <w:rPr>
          <w:rFonts w:ascii="Bookman Old Style" w:eastAsia="Times New Roman" w:hAnsi="Bookman Old Style" w:cs="Times New Roman"/>
          <w:color w:val="000000"/>
          <w:kern w:val="0"/>
          <w:sz w:val="28"/>
          <w:szCs w:val="28"/>
          <w:lang w:val="el-GR"/>
          <w14:ligatures w14:val="none"/>
        </w:rPr>
        <w:t xml:space="preserve"> </w:t>
      </w:r>
      <w:r w:rsidR="00BB6E8B">
        <w:rPr>
          <w:rFonts w:ascii="Bookman Old Style" w:eastAsia="Times New Roman" w:hAnsi="Bookman Old Style" w:cs="Times New Roman"/>
          <w:color w:val="000000"/>
          <w:kern w:val="0"/>
          <w:sz w:val="28"/>
          <w:szCs w:val="28"/>
          <w:lang w:val="el-GR"/>
          <w14:ligatures w14:val="none"/>
        </w:rPr>
        <w:t>στο οποίο καταγράφεται η μάρκα, το μοντέλο και η χρονολογία κατασκευής του οχήματος</w:t>
      </w:r>
      <w:r w:rsidR="00BD4B3E">
        <w:rPr>
          <w:rFonts w:ascii="Bookman Old Style" w:eastAsia="Times New Roman" w:hAnsi="Bookman Old Style" w:cs="Times New Roman"/>
          <w:color w:val="000000"/>
          <w:kern w:val="0"/>
          <w:sz w:val="28"/>
          <w:szCs w:val="28"/>
          <w:lang w:val="el-GR"/>
          <w14:ligatures w14:val="none"/>
        </w:rPr>
        <w:t xml:space="preserve"> και όχι της φυσικής επιθεώρησης του </w:t>
      </w:r>
      <w:r w:rsidR="00BD4B3E">
        <w:rPr>
          <w:rFonts w:ascii="Bookman Old Style" w:eastAsia="Times New Roman" w:hAnsi="Bookman Old Style" w:cs="Times New Roman"/>
          <w:color w:val="000000"/>
          <w:kern w:val="0"/>
          <w:sz w:val="28"/>
          <w:szCs w:val="28"/>
          <w:lang w:val="el-GR"/>
          <w14:ligatures w14:val="none"/>
        </w:rPr>
        <w:lastRenderedPageBreak/>
        <w:t xml:space="preserve">ευσταθεί. Ο ΜΕ2 ανέφερε ότι κατά τον έλεγχο του οχήματος ζητήθηκε το εν λόγω έγγραφο και ουδέποτε ήταν η θέση του πως </w:t>
      </w:r>
      <w:r w:rsidR="00407252">
        <w:rPr>
          <w:rFonts w:ascii="Bookman Old Style" w:eastAsia="Times New Roman" w:hAnsi="Bookman Old Style" w:cs="Times New Roman"/>
          <w:color w:val="000000"/>
          <w:kern w:val="0"/>
          <w:sz w:val="28"/>
          <w:szCs w:val="28"/>
          <w:lang w:val="el-GR"/>
          <w14:ligatures w14:val="none"/>
        </w:rPr>
        <w:t xml:space="preserve">ο </w:t>
      </w:r>
      <w:r w:rsidR="00BD4B3E">
        <w:rPr>
          <w:rFonts w:ascii="Bookman Old Style" w:eastAsia="Times New Roman" w:hAnsi="Bookman Old Style" w:cs="Times New Roman"/>
          <w:color w:val="000000"/>
          <w:kern w:val="0"/>
          <w:sz w:val="28"/>
          <w:szCs w:val="28"/>
          <w:lang w:val="el-GR"/>
          <w14:ligatures w14:val="none"/>
        </w:rPr>
        <w:t xml:space="preserve">έλεγχος έγινε αποκλειστικά και μόνο </w:t>
      </w:r>
      <w:r w:rsidR="00E6523D">
        <w:rPr>
          <w:rFonts w:ascii="Bookman Old Style" w:eastAsia="Times New Roman" w:hAnsi="Bookman Old Style" w:cs="Times New Roman"/>
          <w:color w:val="000000"/>
          <w:kern w:val="0"/>
          <w:sz w:val="28"/>
          <w:szCs w:val="28"/>
          <w:lang w:val="el-GR"/>
          <w14:ligatures w14:val="none"/>
        </w:rPr>
        <w:t xml:space="preserve">στη βάση του εγγράφου. </w:t>
      </w:r>
    </w:p>
    <w:p w14:paraId="1975C1CF" w14:textId="2220313E" w:rsidR="00B77F8C" w:rsidRDefault="00B77F8C" w:rsidP="00095549">
      <w:pPr>
        <w:spacing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Ο Εφεσείων εισηγείται ότι η αξιοπιστία του μάρτυρα κλονίστηκε από την παραδοχή του ότι η Εφεσίβλητη δεν διασφάλισε την εγγραφή του οχήματος στον εναγόμενο 1. Ο μάρτυρας όμως έδωσε πλήρεις και βάσιμες εξηγήσεις ως προς τούτο. </w:t>
      </w:r>
      <w:r w:rsidR="0079297E">
        <w:rPr>
          <w:rFonts w:ascii="Bookman Old Style" w:eastAsia="Times New Roman" w:hAnsi="Bookman Old Style" w:cs="Times New Roman"/>
          <w:color w:val="000000"/>
          <w:kern w:val="0"/>
          <w:sz w:val="28"/>
          <w:szCs w:val="28"/>
          <w:lang w:val="el-GR"/>
          <w14:ligatures w14:val="none"/>
        </w:rPr>
        <w:t xml:space="preserve">Συγκεκριμένα, ανέφερε ότι ο εναγόμενος 1 ήταν πελάτης της Εφεσίβλητης και διατηρούσαν άριστη συνεργασία, επομένως θεωρούσε ότι το ρίσκο της τελευταίας ήταν μηδαμινό και ότι εν πάση περιπτώσει η Εφεσίβλητη ήταν εξασφαλισμένη </w:t>
      </w:r>
      <w:r w:rsidR="006851AC">
        <w:rPr>
          <w:rFonts w:ascii="Bookman Old Style" w:eastAsia="Times New Roman" w:hAnsi="Bookman Old Style" w:cs="Times New Roman"/>
          <w:color w:val="000000"/>
          <w:kern w:val="0"/>
          <w:sz w:val="28"/>
          <w:szCs w:val="28"/>
          <w:lang w:val="el-GR"/>
          <w14:ligatures w14:val="none"/>
        </w:rPr>
        <w:t xml:space="preserve">με την εγγύηση του Εφεσείοντα. </w:t>
      </w:r>
    </w:p>
    <w:p w14:paraId="15329BD7" w14:textId="16DC2063" w:rsidR="006851AC" w:rsidRDefault="006851AC" w:rsidP="00095549">
      <w:pPr>
        <w:spacing w:before="24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Το πρωτόδικο Δικαστήριο ουδόλως παραγνώρισε ή παρέλειψε να εκτιμήσει ορθά την κάθε πτυχή της ως άνω μαρτυρίας του ΜΕ2. Αντιθέτως, παρέθεσε αυτή </w:t>
      </w:r>
      <w:r w:rsidR="0020038B">
        <w:rPr>
          <w:rFonts w:ascii="Bookman Old Style" w:eastAsia="Times New Roman" w:hAnsi="Bookman Old Style" w:cs="Times New Roman"/>
          <w:color w:val="000000"/>
          <w:kern w:val="0"/>
          <w:sz w:val="28"/>
          <w:szCs w:val="28"/>
          <w:lang w:val="el-GR"/>
          <w14:ligatures w14:val="none"/>
        </w:rPr>
        <w:t xml:space="preserve">τη μαρτυρία </w:t>
      </w:r>
      <w:r>
        <w:rPr>
          <w:rFonts w:ascii="Bookman Old Style" w:eastAsia="Times New Roman" w:hAnsi="Bookman Old Style" w:cs="Times New Roman"/>
          <w:color w:val="000000"/>
          <w:kern w:val="0"/>
          <w:sz w:val="28"/>
          <w:szCs w:val="28"/>
          <w:lang w:val="el-GR"/>
          <w14:ligatures w14:val="none"/>
        </w:rPr>
        <w:t xml:space="preserve">στην απόφαση του και προέβη στην ορθή εκτίμηση του συνόλου της μαρτυρίας του, εστιάζοντας την προσοχή του στη μοναδική αντίφαση αναφορικά με το χρώμα του οχήματος και αξιολογώντας την στο σύνολο της με γνώμονα τη μνήμη και τη σταθερότητα του στο ουσιώδες σημείο της επιθεώρησης και </w:t>
      </w:r>
      <w:r>
        <w:rPr>
          <w:rFonts w:ascii="Bookman Old Style" w:eastAsia="Times New Roman" w:hAnsi="Bookman Old Style" w:cs="Times New Roman"/>
          <w:color w:val="000000"/>
          <w:kern w:val="0"/>
          <w:sz w:val="28"/>
          <w:szCs w:val="28"/>
          <w:lang w:val="el-GR"/>
          <w14:ligatures w14:val="none"/>
        </w:rPr>
        <w:lastRenderedPageBreak/>
        <w:t xml:space="preserve">κοστολόγησης του οχήματος. Ως εκ τούτου θεωρούμε ότι το πρωτόδικο Δικαστήριο προέβη σε ορθή αξιολόγηση της μαρτυρίας του ΜΕ2. </w:t>
      </w:r>
    </w:p>
    <w:p w14:paraId="365F62FC" w14:textId="7022EA65" w:rsidR="00E16196" w:rsidRDefault="0020038B" w:rsidP="00095549">
      <w:pPr>
        <w:spacing w:before="24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Ο </w:t>
      </w:r>
      <w:r w:rsidR="00E16196">
        <w:rPr>
          <w:rFonts w:ascii="Bookman Old Style" w:eastAsia="Times New Roman" w:hAnsi="Bookman Old Style" w:cs="Times New Roman"/>
          <w:color w:val="000000"/>
          <w:kern w:val="0"/>
          <w:sz w:val="28"/>
          <w:szCs w:val="28"/>
          <w:lang w:val="el-GR"/>
          <w14:ligatures w14:val="none"/>
        </w:rPr>
        <w:t xml:space="preserve">πρώτος λόγος έφεσης απορρίπτεται. </w:t>
      </w:r>
    </w:p>
    <w:p w14:paraId="416E8BDD" w14:textId="62348948" w:rsidR="00357EEC" w:rsidRDefault="00E16196" w:rsidP="00095549">
      <w:pPr>
        <w:spacing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Ο δεύτερος λόγος έφεσης αφορά στην αξιολόγηση της μαρτυρίας του Εφεσείοντα. Αποδίδεται στο πρωτόδικο Δικαστήριο ότι λανθασμένα έκρινε πως </w:t>
      </w:r>
      <w:r w:rsidR="00555699">
        <w:rPr>
          <w:rFonts w:ascii="Bookman Old Style" w:eastAsia="Times New Roman" w:hAnsi="Bookman Old Style" w:cs="Times New Roman"/>
          <w:color w:val="000000"/>
          <w:kern w:val="0"/>
          <w:sz w:val="28"/>
          <w:szCs w:val="28"/>
          <w:lang w:val="el-GR"/>
          <w14:ligatures w14:val="none"/>
        </w:rPr>
        <w:t xml:space="preserve">το τεκμήριο 21 </w:t>
      </w:r>
      <w:r>
        <w:rPr>
          <w:rFonts w:ascii="Bookman Old Style" w:eastAsia="Times New Roman" w:hAnsi="Bookman Old Style" w:cs="Times New Roman"/>
          <w:color w:val="000000"/>
          <w:kern w:val="0"/>
          <w:sz w:val="28"/>
          <w:szCs w:val="28"/>
          <w:lang w:val="el-GR"/>
          <w14:ligatures w14:val="none"/>
        </w:rPr>
        <w:t>αποδείκνυε την ύπαρξη του οχήματος και</w:t>
      </w:r>
      <w:r w:rsidR="00067FD8">
        <w:rPr>
          <w:rFonts w:ascii="Bookman Old Style" w:eastAsia="Times New Roman" w:hAnsi="Bookman Old Style" w:cs="Times New Roman"/>
          <w:color w:val="000000"/>
          <w:kern w:val="0"/>
          <w:sz w:val="28"/>
          <w:szCs w:val="28"/>
          <w:lang w:val="el-GR"/>
          <w14:ligatures w14:val="none"/>
        </w:rPr>
        <w:t xml:space="preserve"> </w:t>
      </w:r>
      <w:r>
        <w:rPr>
          <w:rFonts w:ascii="Bookman Old Style" w:eastAsia="Times New Roman" w:hAnsi="Bookman Old Style" w:cs="Times New Roman"/>
          <w:color w:val="000000"/>
          <w:kern w:val="0"/>
          <w:sz w:val="28"/>
          <w:szCs w:val="28"/>
          <w:lang w:val="el-GR"/>
          <w14:ligatures w14:val="none"/>
        </w:rPr>
        <w:t xml:space="preserve">εσφαλμένα κατέληξε πως ο </w:t>
      </w:r>
      <w:proofErr w:type="spellStart"/>
      <w:r>
        <w:rPr>
          <w:rFonts w:ascii="Bookman Old Style" w:eastAsia="Times New Roman" w:hAnsi="Bookman Old Style" w:cs="Times New Roman"/>
          <w:color w:val="000000"/>
          <w:kern w:val="0"/>
          <w:sz w:val="28"/>
          <w:szCs w:val="28"/>
          <w:lang w:val="el-GR"/>
          <w14:ligatures w14:val="none"/>
        </w:rPr>
        <w:t>Εφεσείων</w:t>
      </w:r>
      <w:proofErr w:type="spellEnd"/>
      <w:r>
        <w:rPr>
          <w:rFonts w:ascii="Bookman Old Style" w:eastAsia="Times New Roman" w:hAnsi="Bookman Old Style" w:cs="Times New Roman"/>
          <w:color w:val="000000"/>
          <w:kern w:val="0"/>
          <w:sz w:val="28"/>
          <w:szCs w:val="28"/>
          <w:lang w:val="el-GR"/>
          <w14:ligatures w14:val="none"/>
        </w:rPr>
        <w:t xml:space="preserve"> </w:t>
      </w:r>
      <w:proofErr w:type="spellStart"/>
      <w:r>
        <w:rPr>
          <w:rFonts w:ascii="Bookman Old Style" w:eastAsia="Times New Roman" w:hAnsi="Bookman Old Style" w:cs="Times New Roman"/>
          <w:color w:val="000000"/>
          <w:kern w:val="0"/>
          <w:sz w:val="28"/>
          <w:szCs w:val="28"/>
          <w:lang w:val="el-GR"/>
          <w14:ligatures w14:val="none"/>
        </w:rPr>
        <w:t>αυτοαναιρέθηκε</w:t>
      </w:r>
      <w:proofErr w:type="spellEnd"/>
      <w:r>
        <w:rPr>
          <w:rFonts w:ascii="Bookman Old Style" w:eastAsia="Times New Roman" w:hAnsi="Bookman Old Style" w:cs="Times New Roman"/>
          <w:color w:val="000000"/>
          <w:kern w:val="0"/>
          <w:sz w:val="28"/>
          <w:szCs w:val="28"/>
          <w:lang w:val="el-GR"/>
          <w14:ligatures w14:val="none"/>
        </w:rPr>
        <w:t xml:space="preserve"> από το </w:t>
      </w:r>
      <w:r w:rsidR="00555699">
        <w:rPr>
          <w:rFonts w:ascii="Bookman Old Style" w:eastAsia="Times New Roman" w:hAnsi="Bookman Old Style" w:cs="Times New Roman"/>
          <w:color w:val="000000"/>
          <w:kern w:val="0"/>
          <w:sz w:val="28"/>
          <w:szCs w:val="28"/>
          <w:lang w:val="el-GR"/>
          <w14:ligatures w14:val="none"/>
        </w:rPr>
        <w:t xml:space="preserve">εν λόγω </w:t>
      </w:r>
      <w:r>
        <w:rPr>
          <w:rFonts w:ascii="Bookman Old Style" w:eastAsia="Times New Roman" w:hAnsi="Bookman Old Style" w:cs="Times New Roman"/>
          <w:color w:val="000000"/>
          <w:kern w:val="0"/>
          <w:sz w:val="28"/>
          <w:szCs w:val="28"/>
          <w:lang w:val="el-GR"/>
          <w14:ligatures w14:val="none"/>
        </w:rPr>
        <w:t>τεκμήριο</w:t>
      </w:r>
      <w:r w:rsidR="00555699">
        <w:rPr>
          <w:rFonts w:ascii="Bookman Old Style" w:eastAsia="Times New Roman" w:hAnsi="Bookman Old Style" w:cs="Times New Roman"/>
          <w:color w:val="000000"/>
          <w:kern w:val="0"/>
          <w:sz w:val="28"/>
          <w:szCs w:val="28"/>
          <w:lang w:val="el-GR"/>
          <w14:ligatures w14:val="none"/>
        </w:rPr>
        <w:t>.</w:t>
      </w:r>
      <w:r>
        <w:rPr>
          <w:rFonts w:ascii="Bookman Old Style" w:eastAsia="Times New Roman" w:hAnsi="Bookman Old Style" w:cs="Times New Roman"/>
          <w:color w:val="000000"/>
          <w:kern w:val="0"/>
          <w:sz w:val="28"/>
          <w:szCs w:val="28"/>
          <w:lang w:val="el-GR"/>
          <w14:ligatures w14:val="none"/>
        </w:rPr>
        <w:t xml:space="preserve"> </w:t>
      </w:r>
      <w:r w:rsidR="00121572">
        <w:rPr>
          <w:rFonts w:ascii="Bookman Old Style" w:eastAsia="Times New Roman" w:hAnsi="Bookman Old Style" w:cs="Times New Roman"/>
          <w:color w:val="000000"/>
          <w:kern w:val="0"/>
          <w:sz w:val="28"/>
          <w:szCs w:val="28"/>
          <w:lang w:val="el-GR"/>
          <w14:ligatures w14:val="none"/>
        </w:rPr>
        <w:t xml:space="preserve">Το τεκμήριο αυτό είναι η κάρτα πληροφοριών του οχήματος η οποία </w:t>
      </w:r>
      <w:r w:rsidR="005A3E8C">
        <w:rPr>
          <w:rFonts w:ascii="Bookman Old Style" w:eastAsia="Times New Roman" w:hAnsi="Bookman Old Style" w:cs="Times New Roman"/>
          <w:color w:val="000000"/>
          <w:kern w:val="0"/>
          <w:sz w:val="28"/>
          <w:szCs w:val="28"/>
          <w:lang w:val="el-GR"/>
          <w14:ligatures w14:val="none"/>
        </w:rPr>
        <w:t xml:space="preserve">τηρείται και </w:t>
      </w:r>
      <w:r w:rsidR="00153396">
        <w:rPr>
          <w:rFonts w:ascii="Bookman Old Style" w:eastAsia="Times New Roman" w:hAnsi="Bookman Old Style" w:cs="Times New Roman"/>
          <w:color w:val="000000"/>
          <w:kern w:val="0"/>
          <w:sz w:val="28"/>
          <w:szCs w:val="28"/>
          <w:lang w:val="el-GR"/>
          <w14:ligatures w14:val="none"/>
        </w:rPr>
        <w:t xml:space="preserve">φυλάσσεται </w:t>
      </w:r>
      <w:r w:rsidR="00121572">
        <w:rPr>
          <w:rFonts w:ascii="Bookman Old Style" w:eastAsia="Times New Roman" w:hAnsi="Bookman Old Style" w:cs="Times New Roman"/>
          <w:color w:val="000000"/>
          <w:kern w:val="0"/>
          <w:sz w:val="28"/>
          <w:szCs w:val="28"/>
          <w:lang w:val="el-GR"/>
          <w14:ligatures w14:val="none"/>
        </w:rPr>
        <w:t>από την κατασκευάστρια εταιρεία</w:t>
      </w:r>
      <w:r w:rsidR="003E6187">
        <w:rPr>
          <w:rFonts w:ascii="Bookman Old Style" w:eastAsia="Times New Roman" w:hAnsi="Bookman Old Style" w:cs="Times New Roman"/>
          <w:color w:val="000000"/>
          <w:kern w:val="0"/>
          <w:sz w:val="28"/>
          <w:szCs w:val="28"/>
          <w:lang w:val="el-GR"/>
          <w14:ligatures w14:val="none"/>
        </w:rPr>
        <w:t xml:space="preserve">. Αυτή η κάρτα </w:t>
      </w:r>
      <w:r w:rsidR="00121572">
        <w:rPr>
          <w:rFonts w:ascii="Bookman Old Style" w:eastAsia="Times New Roman" w:hAnsi="Bookman Old Style" w:cs="Times New Roman"/>
          <w:color w:val="000000"/>
          <w:kern w:val="0"/>
          <w:sz w:val="28"/>
          <w:szCs w:val="28"/>
          <w:lang w:val="el-GR"/>
          <w14:ligatures w14:val="none"/>
        </w:rPr>
        <w:t xml:space="preserve"> </w:t>
      </w:r>
      <w:r w:rsidR="00357EEC">
        <w:rPr>
          <w:rFonts w:ascii="Bookman Old Style" w:eastAsia="Times New Roman" w:hAnsi="Bookman Old Style" w:cs="Times New Roman"/>
          <w:color w:val="000000"/>
          <w:kern w:val="0"/>
          <w:sz w:val="28"/>
          <w:szCs w:val="28"/>
          <w:lang w:val="el-GR"/>
          <w14:ligatures w14:val="none"/>
        </w:rPr>
        <w:t xml:space="preserve">παρουσιάστηκε από τον ίδιο τον Εφεσείοντα ο οποίος την </w:t>
      </w:r>
      <w:r w:rsidR="00121572">
        <w:rPr>
          <w:rFonts w:ascii="Bookman Old Style" w:eastAsia="Times New Roman" w:hAnsi="Bookman Old Style" w:cs="Times New Roman"/>
          <w:color w:val="000000"/>
          <w:kern w:val="0"/>
          <w:sz w:val="28"/>
          <w:szCs w:val="28"/>
          <w:lang w:val="el-GR"/>
          <w14:ligatures w14:val="none"/>
        </w:rPr>
        <w:t>εξασ</w:t>
      </w:r>
      <w:r w:rsidR="00357EEC">
        <w:rPr>
          <w:rFonts w:ascii="Bookman Old Style" w:eastAsia="Times New Roman" w:hAnsi="Bookman Old Style" w:cs="Times New Roman"/>
          <w:color w:val="000000"/>
          <w:kern w:val="0"/>
          <w:sz w:val="28"/>
          <w:szCs w:val="28"/>
          <w:lang w:val="el-GR"/>
          <w14:ligatures w14:val="none"/>
        </w:rPr>
        <w:t xml:space="preserve">φάλισε </w:t>
      </w:r>
      <w:r w:rsidR="00121572">
        <w:rPr>
          <w:rFonts w:ascii="Bookman Old Style" w:eastAsia="Times New Roman" w:hAnsi="Bookman Old Style" w:cs="Times New Roman"/>
          <w:color w:val="000000"/>
          <w:kern w:val="0"/>
          <w:sz w:val="28"/>
          <w:szCs w:val="28"/>
          <w:lang w:val="el-GR"/>
          <w14:ligatures w14:val="none"/>
        </w:rPr>
        <w:t xml:space="preserve"> από ιδιώτη βαφέα ο οποίος</w:t>
      </w:r>
      <w:r w:rsidR="00357EEC">
        <w:rPr>
          <w:rFonts w:ascii="Bookman Old Style" w:eastAsia="Times New Roman" w:hAnsi="Bookman Old Style" w:cs="Times New Roman"/>
          <w:color w:val="000000"/>
          <w:kern w:val="0"/>
          <w:sz w:val="28"/>
          <w:szCs w:val="28"/>
          <w:lang w:val="el-GR"/>
          <w14:ligatures w14:val="none"/>
        </w:rPr>
        <w:t xml:space="preserve"> με τη σειρά του</w:t>
      </w:r>
      <w:r w:rsidR="00121572">
        <w:rPr>
          <w:rFonts w:ascii="Bookman Old Style" w:eastAsia="Times New Roman" w:hAnsi="Bookman Old Style" w:cs="Times New Roman"/>
          <w:color w:val="000000"/>
          <w:kern w:val="0"/>
          <w:sz w:val="28"/>
          <w:szCs w:val="28"/>
          <w:lang w:val="el-GR"/>
          <w14:ligatures w14:val="none"/>
        </w:rPr>
        <w:t xml:space="preserve"> είχε πρόσβαση στα δεδομένα της εταιρείας με βάση τον αριθμό σκελετού. Ο Εφεσείων εισηγείται ότι το εν λόγω τεκμήριο καταδεικνύει μεν την κατασκευή του οχήματος αλλά όχι την ύπαρξη του κατά τον ουσιώδη χρόνο. Το πρωτόδικο Δικαστήριο δεν </w:t>
      </w:r>
      <w:r w:rsidR="00F7341F">
        <w:rPr>
          <w:rFonts w:ascii="Bookman Old Style" w:eastAsia="Times New Roman" w:hAnsi="Bookman Old Style" w:cs="Times New Roman"/>
          <w:color w:val="000000"/>
          <w:kern w:val="0"/>
          <w:sz w:val="28"/>
          <w:szCs w:val="28"/>
          <w:lang w:val="el-GR"/>
          <w14:ligatures w14:val="none"/>
        </w:rPr>
        <w:t>τελού</w:t>
      </w:r>
      <w:r w:rsidR="00121572">
        <w:rPr>
          <w:rFonts w:ascii="Bookman Old Style" w:eastAsia="Times New Roman" w:hAnsi="Bookman Old Style" w:cs="Times New Roman"/>
          <w:color w:val="000000"/>
          <w:kern w:val="0"/>
          <w:sz w:val="28"/>
          <w:szCs w:val="28"/>
          <w:lang w:val="el-GR"/>
          <w14:ligatures w14:val="none"/>
        </w:rPr>
        <w:t xml:space="preserve">σε υπό σύγχυση επί του θέματος, όπως αποδίδεται σε αυτό από τον Εφεσείοντα. </w:t>
      </w:r>
      <w:r w:rsidR="00C6521C">
        <w:rPr>
          <w:rFonts w:ascii="Bookman Old Style" w:eastAsia="Times New Roman" w:hAnsi="Bookman Old Style" w:cs="Times New Roman"/>
          <w:color w:val="000000"/>
          <w:kern w:val="0"/>
          <w:sz w:val="28"/>
          <w:szCs w:val="28"/>
          <w:lang w:val="el-GR"/>
          <w14:ligatures w14:val="none"/>
        </w:rPr>
        <w:t xml:space="preserve">Αντιθέτως, </w:t>
      </w:r>
      <w:r w:rsidR="00357EEC">
        <w:rPr>
          <w:rFonts w:ascii="Bookman Old Style" w:eastAsia="Times New Roman" w:hAnsi="Bookman Old Style" w:cs="Times New Roman"/>
          <w:color w:val="000000"/>
          <w:kern w:val="0"/>
          <w:sz w:val="28"/>
          <w:szCs w:val="28"/>
          <w:lang w:val="el-GR"/>
          <w14:ligatures w14:val="none"/>
        </w:rPr>
        <w:t>ορθά συνεκτίμησε το τεκμήριο 21 για την κατάληξη του πως η μαρτυρία του Εφεσείοντα δεν ήταν αξιόπιστη καθότι το όχημα ήταν όντως υπαρκτό.</w:t>
      </w:r>
    </w:p>
    <w:p w14:paraId="325CEC14" w14:textId="2AE0EC81" w:rsidR="00357EEC" w:rsidRDefault="00B8041C" w:rsidP="00095549">
      <w:pPr>
        <w:spacing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lastRenderedPageBreak/>
        <w:t xml:space="preserve">Η πιο πάνω διαπίστωση καθιστά ορθή και εύλογη την κατάληξη του πρωτόδικου Δικαστηρίου ότι ο </w:t>
      </w:r>
      <w:proofErr w:type="spellStart"/>
      <w:r>
        <w:rPr>
          <w:rFonts w:ascii="Bookman Old Style" w:eastAsia="Times New Roman" w:hAnsi="Bookman Old Style" w:cs="Times New Roman"/>
          <w:color w:val="000000"/>
          <w:kern w:val="0"/>
          <w:sz w:val="28"/>
          <w:szCs w:val="28"/>
          <w:lang w:val="el-GR"/>
          <w14:ligatures w14:val="none"/>
        </w:rPr>
        <w:t>Εφεσείων</w:t>
      </w:r>
      <w:proofErr w:type="spellEnd"/>
      <w:r>
        <w:rPr>
          <w:rFonts w:ascii="Bookman Old Style" w:eastAsia="Times New Roman" w:hAnsi="Bookman Old Style" w:cs="Times New Roman"/>
          <w:color w:val="000000"/>
          <w:kern w:val="0"/>
          <w:sz w:val="28"/>
          <w:szCs w:val="28"/>
          <w:lang w:val="el-GR"/>
          <w14:ligatures w14:val="none"/>
        </w:rPr>
        <w:t xml:space="preserve"> </w:t>
      </w:r>
      <w:proofErr w:type="spellStart"/>
      <w:r>
        <w:rPr>
          <w:rFonts w:ascii="Bookman Old Style" w:eastAsia="Times New Roman" w:hAnsi="Bookman Old Style" w:cs="Times New Roman"/>
          <w:color w:val="000000"/>
          <w:kern w:val="0"/>
          <w:sz w:val="28"/>
          <w:szCs w:val="28"/>
          <w:lang w:val="el-GR"/>
          <w14:ligatures w14:val="none"/>
        </w:rPr>
        <w:t>προέβαλε</w:t>
      </w:r>
      <w:proofErr w:type="spellEnd"/>
      <w:r>
        <w:rPr>
          <w:rFonts w:ascii="Bookman Old Style" w:eastAsia="Times New Roman" w:hAnsi="Bookman Old Style" w:cs="Times New Roman"/>
          <w:color w:val="000000"/>
          <w:kern w:val="0"/>
          <w:sz w:val="28"/>
          <w:szCs w:val="28"/>
          <w:lang w:val="el-GR"/>
          <w14:ligatures w14:val="none"/>
        </w:rPr>
        <w:t xml:space="preserve"> αντιφατικές εκδοχές αναφορικά με</w:t>
      </w:r>
      <w:r w:rsidR="00D472C7">
        <w:rPr>
          <w:rFonts w:ascii="Bookman Old Style" w:eastAsia="Times New Roman" w:hAnsi="Bookman Old Style" w:cs="Times New Roman"/>
          <w:color w:val="000000"/>
          <w:kern w:val="0"/>
          <w:sz w:val="28"/>
          <w:szCs w:val="28"/>
          <w:lang w:val="el-GR"/>
          <w14:ligatures w14:val="none"/>
        </w:rPr>
        <w:t xml:space="preserve"> τ</w:t>
      </w:r>
      <w:r w:rsidR="0015245A">
        <w:rPr>
          <w:rFonts w:ascii="Bookman Old Style" w:eastAsia="Times New Roman" w:hAnsi="Bookman Old Style" w:cs="Times New Roman"/>
          <w:color w:val="000000"/>
          <w:kern w:val="0"/>
          <w:sz w:val="28"/>
          <w:szCs w:val="28"/>
          <w:lang w:val="el-GR"/>
          <w14:ligatures w14:val="none"/>
        </w:rPr>
        <w:t>ον λόγο για τη μη</w:t>
      </w:r>
      <w:r w:rsidR="00D472C7">
        <w:rPr>
          <w:rFonts w:ascii="Bookman Old Style" w:eastAsia="Times New Roman" w:hAnsi="Bookman Old Style" w:cs="Times New Roman"/>
          <w:color w:val="000000"/>
          <w:kern w:val="0"/>
          <w:sz w:val="28"/>
          <w:szCs w:val="28"/>
          <w:lang w:val="el-GR"/>
          <w14:ligatures w14:val="none"/>
        </w:rPr>
        <w:t xml:space="preserve"> εγκυρότητα της εγγύησης του</w:t>
      </w:r>
      <w:r>
        <w:rPr>
          <w:rFonts w:ascii="Bookman Old Style" w:eastAsia="Times New Roman" w:hAnsi="Bookman Old Style" w:cs="Times New Roman"/>
          <w:color w:val="000000"/>
          <w:kern w:val="0"/>
          <w:sz w:val="28"/>
          <w:szCs w:val="28"/>
          <w:lang w:val="el-GR"/>
          <w14:ligatures w14:val="none"/>
        </w:rPr>
        <w:t xml:space="preserve">. Σε αυτό το πλαίσιο κρίνονται ορθές και οι επιπρόσθετες επισημάνσεις του πρωτόδικου Δικαστηρίου για αντιφατικές θέσεις του Εφεσείοντα. Συγκεκριμένα, ο Εφεσείων υποστήριξε ότι αν το επίδικο όχημα ήταν υπαρκτό, τότε η εγγύηση του ήταν άκυρη είτε επειδή δεν ήταν εγγεγραμμένο, είτε γιατί δεν ήταν εγγεγραμμένο επ’ </w:t>
      </w:r>
      <w:proofErr w:type="spellStart"/>
      <w:r>
        <w:rPr>
          <w:rFonts w:ascii="Bookman Old Style" w:eastAsia="Times New Roman" w:hAnsi="Bookman Old Style" w:cs="Times New Roman"/>
          <w:color w:val="000000"/>
          <w:kern w:val="0"/>
          <w:sz w:val="28"/>
          <w:szCs w:val="28"/>
          <w:lang w:val="el-GR"/>
          <w14:ligatures w14:val="none"/>
        </w:rPr>
        <w:t>ονόματι</w:t>
      </w:r>
      <w:proofErr w:type="spellEnd"/>
      <w:r>
        <w:rPr>
          <w:rFonts w:ascii="Bookman Old Style" w:eastAsia="Times New Roman" w:hAnsi="Bookman Old Style" w:cs="Times New Roman"/>
          <w:color w:val="000000"/>
          <w:kern w:val="0"/>
          <w:sz w:val="28"/>
          <w:szCs w:val="28"/>
          <w:lang w:val="el-GR"/>
          <w14:ligatures w14:val="none"/>
        </w:rPr>
        <w:t xml:space="preserve"> </w:t>
      </w:r>
      <w:r w:rsidR="00AB193D">
        <w:rPr>
          <w:rFonts w:ascii="Bookman Old Style" w:eastAsia="Times New Roman" w:hAnsi="Bookman Old Style" w:cs="Times New Roman"/>
          <w:color w:val="000000"/>
          <w:kern w:val="0"/>
          <w:sz w:val="28"/>
          <w:szCs w:val="28"/>
          <w:lang w:val="el-GR"/>
          <w14:ligatures w14:val="none"/>
        </w:rPr>
        <w:t>της Εφεσίβλητης, είτε διότι η Εφεσίβλητη δεν κατέστη ποτέ ιδιοκτήτης της, είτε διότι η Εφεσίβλητη δεν προχώρησε με κατάσχεση του</w:t>
      </w:r>
      <w:r w:rsidR="009C335B">
        <w:rPr>
          <w:rFonts w:ascii="Bookman Old Style" w:eastAsia="Times New Roman" w:hAnsi="Bookman Old Style" w:cs="Times New Roman"/>
          <w:color w:val="000000"/>
          <w:kern w:val="0"/>
          <w:sz w:val="28"/>
          <w:szCs w:val="28"/>
          <w:lang w:val="el-GR"/>
          <w14:ligatures w14:val="none"/>
        </w:rPr>
        <w:t>,</w:t>
      </w:r>
      <w:r w:rsidR="00AB193D">
        <w:rPr>
          <w:rFonts w:ascii="Bookman Old Style" w:eastAsia="Times New Roman" w:hAnsi="Bookman Old Style" w:cs="Times New Roman"/>
          <w:color w:val="000000"/>
          <w:kern w:val="0"/>
          <w:sz w:val="28"/>
          <w:szCs w:val="28"/>
          <w:lang w:val="el-GR"/>
          <w14:ligatures w14:val="none"/>
        </w:rPr>
        <w:t xml:space="preserve"> είτε γιατί δεν ενημερώθηκε από την Εφεσίβλητη ότι το όχημα δεν ενεγράφη επ’  </w:t>
      </w:r>
      <w:proofErr w:type="spellStart"/>
      <w:r w:rsidR="00AB193D">
        <w:rPr>
          <w:rFonts w:ascii="Bookman Old Style" w:eastAsia="Times New Roman" w:hAnsi="Bookman Old Style" w:cs="Times New Roman"/>
          <w:color w:val="000000"/>
          <w:kern w:val="0"/>
          <w:sz w:val="28"/>
          <w:szCs w:val="28"/>
          <w:lang w:val="el-GR"/>
          <w14:ligatures w14:val="none"/>
        </w:rPr>
        <w:t>ονόματι</w:t>
      </w:r>
      <w:proofErr w:type="spellEnd"/>
      <w:r w:rsidR="00AB193D">
        <w:rPr>
          <w:rFonts w:ascii="Bookman Old Style" w:eastAsia="Times New Roman" w:hAnsi="Bookman Old Style" w:cs="Times New Roman"/>
          <w:color w:val="000000"/>
          <w:kern w:val="0"/>
          <w:sz w:val="28"/>
          <w:szCs w:val="28"/>
          <w:lang w:val="el-GR"/>
          <w14:ligatures w14:val="none"/>
        </w:rPr>
        <w:t xml:space="preserve"> της. Ήταν πλήρως δικαιολογημένη και εύστοχη η περιγραφή του πρωτόδικου Δικαστηρίου </w:t>
      </w:r>
      <w:r w:rsidR="008542CE">
        <w:rPr>
          <w:rFonts w:ascii="Bookman Old Style" w:eastAsia="Times New Roman" w:hAnsi="Bookman Old Style" w:cs="Times New Roman"/>
          <w:color w:val="000000"/>
          <w:kern w:val="0"/>
          <w:sz w:val="28"/>
          <w:szCs w:val="28"/>
          <w:lang w:val="el-GR"/>
          <w14:ligatures w14:val="none"/>
        </w:rPr>
        <w:t>ότι «</w:t>
      </w:r>
      <w:r w:rsidR="008542CE" w:rsidRPr="008542CE">
        <w:rPr>
          <w:rFonts w:ascii="Bookman Old Style" w:eastAsia="Times New Roman" w:hAnsi="Bookman Old Style" w:cs="Times New Roman"/>
          <w:i/>
          <w:iCs/>
          <w:color w:val="000000"/>
          <w:kern w:val="0"/>
          <w:sz w:val="28"/>
          <w:szCs w:val="28"/>
          <w:lang w:val="el-GR"/>
          <w14:ligatures w14:val="none"/>
        </w:rPr>
        <w:t>το περιεχόμενο της μαρτυρίας του, συνηγορεί στο ότι επιδίωξη του κατά τη διάρκεια της μαρτυρίας του δεν ήταν να υποβοηθήσει το Δικαστήριο στην εξακρίβωση της αλήθειας αναφορικά με τα γεγονότα αλλά να προωθήσει διάφορους λόγους, ενίοτε και αντιφατικούς, για τους οποίους δεν υπέχει ευθύνη έναντι των Εναγόντων</w:t>
      </w:r>
      <w:r w:rsidR="008542CE">
        <w:rPr>
          <w:rFonts w:ascii="Bookman Old Style" w:eastAsia="Times New Roman" w:hAnsi="Bookman Old Style" w:cs="Times New Roman"/>
          <w:color w:val="000000"/>
          <w:kern w:val="0"/>
          <w:sz w:val="28"/>
          <w:szCs w:val="28"/>
          <w:lang w:val="el-GR"/>
          <w14:ligatures w14:val="none"/>
        </w:rPr>
        <w:t xml:space="preserve">». </w:t>
      </w:r>
    </w:p>
    <w:p w14:paraId="40B81DAC" w14:textId="330FDC97" w:rsidR="003A61ED" w:rsidRDefault="003A61ED" w:rsidP="00095549">
      <w:pPr>
        <w:spacing w:before="24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lastRenderedPageBreak/>
        <w:t xml:space="preserve">Θεωρούμε ορθή επίσης τη διαπίστωση του πρωτόδικου Δικαστηρίου και για μια ακόμα αντίφαση στη μαρτυρία του Εφεσείοντα </w:t>
      </w:r>
      <w:r w:rsidR="0037072E">
        <w:rPr>
          <w:rFonts w:ascii="Bookman Old Style" w:eastAsia="Times New Roman" w:hAnsi="Bookman Old Style" w:cs="Times New Roman"/>
          <w:color w:val="000000"/>
          <w:kern w:val="0"/>
          <w:sz w:val="28"/>
          <w:szCs w:val="28"/>
          <w:lang w:val="el-GR"/>
          <w14:ligatures w14:val="none"/>
        </w:rPr>
        <w:t>η οποία αφορά σ</w:t>
      </w:r>
      <w:r>
        <w:rPr>
          <w:rFonts w:ascii="Bookman Old Style" w:eastAsia="Times New Roman" w:hAnsi="Bookman Old Style" w:cs="Times New Roman"/>
          <w:color w:val="000000"/>
          <w:kern w:val="0"/>
          <w:sz w:val="28"/>
          <w:szCs w:val="28"/>
          <w:lang w:val="el-GR"/>
          <w14:ligatures w14:val="none"/>
        </w:rPr>
        <w:t xml:space="preserve">το θέμα της παραλαβής των επιστολών </w:t>
      </w:r>
      <w:r w:rsidR="004F0F04">
        <w:rPr>
          <w:rFonts w:ascii="Bookman Old Style" w:eastAsia="Times New Roman" w:hAnsi="Bookman Old Style" w:cs="Times New Roman"/>
          <w:color w:val="000000"/>
          <w:kern w:val="0"/>
          <w:sz w:val="28"/>
          <w:szCs w:val="28"/>
          <w:lang w:val="el-GR"/>
          <w14:ligatures w14:val="none"/>
        </w:rPr>
        <w:t xml:space="preserve">προειδοποίησης και τερματισμού </w:t>
      </w:r>
      <w:r>
        <w:rPr>
          <w:rFonts w:ascii="Bookman Old Style" w:eastAsia="Times New Roman" w:hAnsi="Bookman Old Style" w:cs="Times New Roman"/>
          <w:color w:val="000000"/>
          <w:kern w:val="0"/>
          <w:sz w:val="28"/>
          <w:szCs w:val="28"/>
          <w:lang w:val="el-GR"/>
          <w14:ligatures w14:val="none"/>
        </w:rPr>
        <w:t>της Εφεσίβλητης</w:t>
      </w:r>
      <w:r w:rsidR="0011107C">
        <w:rPr>
          <w:rFonts w:ascii="Bookman Old Style" w:eastAsia="Times New Roman" w:hAnsi="Bookman Old Style" w:cs="Times New Roman"/>
          <w:color w:val="000000"/>
          <w:kern w:val="0"/>
          <w:sz w:val="28"/>
          <w:szCs w:val="28"/>
          <w:lang w:val="el-GR"/>
          <w14:ligatures w14:val="none"/>
        </w:rPr>
        <w:t xml:space="preserve"> ως γεγονότος και όχι ως νομικού επιχειρήματος, ως η εισήγηση του Εφεσείοντα</w:t>
      </w:r>
      <w:r>
        <w:rPr>
          <w:rFonts w:ascii="Bookman Old Style" w:eastAsia="Times New Roman" w:hAnsi="Bookman Old Style" w:cs="Times New Roman"/>
          <w:color w:val="000000"/>
          <w:kern w:val="0"/>
          <w:sz w:val="28"/>
          <w:szCs w:val="28"/>
          <w:lang w:val="el-GR"/>
          <w14:ligatures w14:val="none"/>
        </w:rPr>
        <w:t xml:space="preserve">. </w:t>
      </w:r>
      <w:r w:rsidR="005821D7">
        <w:rPr>
          <w:rFonts w:ascii="Bookman Old Style" w:eastAsia="Times New Roman" w:hAnsi="Bookman Old Style" w:cs="Times New Roman"/>
          <w:color w:val="000000"/>
          <w:kern w:val="0"/>
          <w:sz w:val="28"/>
          <w:szCs w:val="28"/>
          <w:lang w:val="el-GR"/>
          <w14:ligatures w14:val="none"/>
        </w:rPr>
        <w:t xml:space="preserve">Ενώ ο Εφεσείων δήλωσε ότι δεν τις έλαβε ποτέ, τελικώς </w:t>
      </w:r>
      <w:proofErr w:type="spellStart"/>
      <w:r w:rsidR="005821D7">
        <w:rPr>
          <w:rFonts w:ascii="Bookman Old Style" w:eastAsia="Times New Roman" w:hAnsi="Bookman Old Style" w:cs="Times New Roman"/>
          <w:color w:val="000000"/>
          <w:kern w:val="0"/>
          <w:sz w:val="28"/>
          <w:szCs w:val="28"/>
          <w:lang w:val="el-GR"/>
          <w14:ligatures w14:val="none"/>
        </w:rPr>
        <w:t>διεφάνη</w:t>
      </w:r>
      <w:proofErr w:type="spellEnd"/>
      <w:r w:rsidR="005821D7">
        <w:rPr>
          <w:rFonts w:ascii="Bookman Old Style" w:eastAsia="Times New Roman" w:hAnsi="Bookman Old Style" w:cs="Times New Roman"/>
          <w:color w:val="000000"/>
          <w:kern w:val="0"/>
          <w:sz w:val="28"/>
          <w:szCs w:val="28"/>
          <w:lang w:val="el-GR"/>
          <w14:ligatures w14:val="none"/>
        </w:rPr>
        <w:t xml:space="preserve"> ότι τις παρέλαβε μετά την επιστροφή του στην κατοικία του αφότου επέστρεψε εκεί μετά από την εγκατάλειψη αυτής για κάποιο χρονικό διάστημα </w:t>
      </w:r>
      <w:r w:rsidR="0037072E">
        <w:rPr>
          <w:rFonts w:ascii="Bookman Old Style" w:eastAsia="Times New Roman" w:hAnsi="Bookman Old Style" w:cs="Times New Roman"/>
          <w:color w:val="000000"/>
          <w:kern w:val="0"/>
          <w:sz w:val="28"/>
          <w:szCs w:val="28"/>
          <w:lang w:val="el-GR"/>
          <w14:ligatures w14:val="none"/>
        </w:rPr>
        <w:t xml:space="preserve">και αυτές φυλάσσονταν από τη σύζυγο του, δεχόμενος ότι δεν </w:t>
      </w:r>
      <w:r w:rsidR="005821D7">
        <w:rPr>
          <w:rFonts w:ascii="Bookman Old Style" w:eastAsia="Times New Roman" w:hAnsi="Bookman Old Style" w:cs="Times New Roman"/>
          <w:color w:val="000000"/>
          <w:kern w:val="0"/>
          <w:sz w:val="28"/>
          <w:szCs w:val="28"/>
          <w:lang w:val="el-GR"/>
          <w14:ligatures w14:val="none"/>
        </w:rPr>
        <w:t xml:space="preserve">είχε ενημερώσει την Εφεσίβλητη για την αλλαγή της διεύθυνσης του. </w:t>
      </w:r>
    </w:p>
    <w:p w14:paraId="6A422F5C" w14:textId="69B9F08C" w:rsidR="005821D7" w:rsidRDefault="001E39D9" w:rsidP="00095549">
      <w:pPr>
        <w:spacing w:before="24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Επομένως, και ο δεύτερος λόγος έφεσης απορρίπτεται. </w:t>
      </w:r>
    </w:p>
    <w:p w14:paraId="1BB3F500" w14:textId="782DAE75" w:rsidR="001E39D9" w:rsidRDefault="001E39D9" w:rsidP="00095549">
      <w:pPr>
        <w:spacing w:before="24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Ο τρίτος λόγος έφεσης αφορά γενικά στην αξιολόγηση της μαρτυρίας του ΜΕ2 και του Εφεσείοντα, και επομένως καλύπτεται από τα όσα αναφέρονται ανωτέρω. Το μόνο πρόσθετο επιχείρημα είναι η λανθασμένη αξιολόγηση του τεκμηρίου 17. Πρόκειται για δήλωση </w:t>
      </w:r>
      <w:proofErr w:type="spellStart"/>
      <w:r>
        <w:rPr>
          <w:rFonts w:ascii="Bookman Old Style" w:eastAsia="Times New Roman" w:hAnsi="Bookman Old Style" w:cs="Times New Roman"/>
          <w:color w:val="000000"/>
          <w:kern w:val="0"/>
          <w:sz w:val="28"/>
          <w:szCs w:val="28"/>
          <w:lang w:val="el-GR"/>
          <w14:ligatures w14:val="none"/>
        </w:rPr>
        <w:t>ημερ</w:t>
      </w:r>
      <w:proofErr w:type="spellEnd"/>
      <w:r>
        <w:rPr>
          <w:rFonts w:ascii="Bookman Old Style" w:eastAsia="Times New Roman" w:hAnsi="Bookman Old Style" w:cs="Times New Roman"/>
          <w:color w:val="000000"/>
          <w:kern w:val="0"/>
          <w:sz w:val="28"/>
          <w:szCs w:val="28"/>
          <w:lang w:val="el-GR"/>
          <w14:ligatures w14:val="none"/>
        </w:rPr>
        <w:t>. 14.9.2008</w:t>
      </w:r>
      <w:r w:rsidR="001F187B">
        <w:rPr>
          <w:rFonts w:ascii="Bookman Old Style" w:eastAsia="Times New Roman" w:hAnsi="Bookman Old Style" w:cs="Times New Roman"/>
          <w:color w:val="000000"/>
          <w:kern w:val="0"/>
          <w:sz w:val="28"/>
          <w:szCs w:val="28"/>
          <w:lang w:val="el-GR"/>
          <w14:ligatures w14:val="none"/>
        </w:rPr>
        <w:t xml:space="preserve"> </w:t>
      </w:r>
      <w:r>
        <w:rPr>
          <w:rFonts w:ascii="Bookman Old Style" w:eastAsia="Times New Roman" w:hAnsi="Bookman Old Style" w:cs="Times New Roman"/>
          <w:color w:val="000000"/>
          <w:kern w:val="0"/>
          <w:sz w:val="28"/>
          <w:szCs w:val="28"/>
          <w:lang w:val="el-GR"/>
          <w14:ligatures w14:val="none"/>
        </w:rPr>
        <w:t>την οποία υπέγραψε ο εναγόμενος 1 ότι είναι ιδιοκτήτης του οχήματος, βάσει τη</w:t>
      </w:r>
      <w:r w:rsidR="002B3CF5">
        <w:rPr>
          <w:rFonts w:ascii="Bookman Old Style" w:eastAsia="Times New Roman" w:hAnsi="Bookman Old Style" w:cs="Times New Roman"/>
          <w:color w:val="000000"/>
          <w:kern w:val="0"/>
          <w:sz w:val="28"/>
          <w:szCs w:val="28"/>
          <w:lang w:val="el-GR"/>
          <w14:ligatures w14:val="none"/>
        </w:rPr>
        <w:t>ς</w:t>
      </w:r>
      <w:r>
        <w:rPr>
          <w:rFonts w:ascii="Bookman Old Style" w:eastAsia="Times New Roman" w:hAnsi="Bookman Old Style" w:cs="Times New Roman"/>
          <w:color w:val="000000"/>
          <w:kern w:val="0"/>
          <w:sz w:val="28"/>
          <w:szCs w:val="28"/>
          <w:lang w:val="el-GR"/>
          <w14:ligatures w14:val="none"/>
        </w:rPr>
        <w:t xml:space="preserve"> οποίας η Εφεσίβλητη προχώρησε στην κατάρτιση της επίδικης συμφωνίας. </w:t>
      </w:r>
      <w:r w:rsidR="001F187B">
        <w:rPr>
          <w:rFonts w:ascii="Bookman Old Style" w:eastAsia="Times New Roman" w:hAnsi="Bookman Old Style" w:cs="Times New Roman"/>
          <w:color w:val="000000"/>
          <w:kern w:val="0"/>
          <w:sz w:val="28"/>
          <w:szCs w:val="28"/>
          <w:lang w:val="el-GR"/>
          <w14:ligatures w14:val="none"/>
        </w:rPr>
        <w:t>Δεν συμμεριζόμαστε αυτή τη θέση</w:t>
      </w:r>
      <w:r w:rsidR="00DB23FB">
        <w:rPr>
          <w:rFonts w:ascii="Bookman Old Style" w:eastAsia="Times New Roman" w:hAnsi="Bookman Old Style" w:cs="Times New Roman"/>
          <w:color w:val="000000"/>
          <w:kern w:val="0"/>
          <w:sz w:val="28"/>
          <w:szCs w:val="28"/>
          <w:lang w:val="el-GR"/>
          <w14:ligatures w14:val="none"/>
        </w:rPr>
        <w:t xml:space="preserve"> του Εφεσείοντα</w:t>
      </w:r>
      <w:r w:rsidR="001F187B">
        <w:rPr>
          <w:rFonts w:ascii="Bookman Old Style" w:eastAsia="Times New Roman" w:hAnsi="Bookman Old Style" w:cs="Times New Roman"/>
          <w:color w:val="000000"/>
          <w:kern w:val="0"/>
          <w:sz w:val="28"/>
          <w:szCs w:val="28"/>
          <w:lang w:val="el-GR"/>
          <w14:ligatures w14:val="none"/>
        </w:rPr>
        <w:t xml:space="preserve">. Όπως θα επεξηγηθεί και κατωτέρω, το πρωτόδικο </w:t>
      </w:r>
      <w:r w:rsidR="001F187B">
        <w:rPr>
          <w:rFonts w:ascii="Bookman Old Style" w:eastAsia="Times New Roman" w:hAnsi="Bookman Old Style" w:cs="Times New Roman"/>
          <w:color w:val="000000"/>
          <w:kern w:val="0"/>
          <w:sz w:val="28"/>
          <w:szCs w:val="28"/>
          <w:lang w:val="el-GR"/>
          <w14:ligatures w14:val="none"/>
        </w:rPr>
        <w:lastRenderedPageBreak/>
        <w:t xml:space="preserve">Δικαστήριο έλαβε υπόψη το εν λόγω τεκμήριο και συνεκτίμησε κάθε πτυχή αυτού, σε συνάρτηση και με την υπόλοιπη μαρτυρία, για να καταλήξει ότι το όχημα ήταν υπαρκτό και παρουσιάστηκε στην Εφεσίβλητη για επιθεώρηση και κοστολόγηση, πλην όμως ουδέποτε ενεγράφη στο όνομα της Εφεσίβλητης. </w:t>
      </w:r>
    </w:p>
    <w:p w14:paraId="3765084A" w14:textId="173949C3" w:rsidR="00CB767F" w:rsidRDefault="00CB767F" w:rsidP="00095549">
      <w:pPr>
        <w:spacing w:before="24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Επομένως, ήταν εύλογα και ορθά τα ευρήματα του πρωτόδικου Δικαστηρίου όσον αφορά την κατάρτιση της επίδικης συμφωνίας </w:t>
      </w:r>
      <w:proofErr w:type="spellStart"/>
      <w:r>
        <w:rPr>
          <w:rFonts w:ascii="Bookman Old Style" w:eastAsia="Times New Roman" w:hAnsi="Bookman Old Style" w:cs="Times New Roman"/>
          <w:color w:val="000000"/>
          <w:kern w:val="0"/>
          <w:sz w:val="28"/>
          <w:szCs w:val="28"/>
          <w:lang w:val="el-GR"/>
          <w14:ligatures w14:val="none"/>
        </w:rPr>
        <w:t>ενοικιαγοράς</w:t>
      </w:r>
      <w:proofErr w:type="spellEnd"/>
      <w:r>
        <w:rPr>
          <w:rFonts w:ascii="Bookman Old Style" w:eastAsia="Times New Roman" w:hAnsi="Bookman Old Style" w:cs="Times New Roman"/>
          <w:color w:val="000000"/>
          <w:kern w:val="0"/>
          <w:sz w:val="28"/>
          <w:szCs w:val="28"/>
          <w:lang w:val="el-GR"/>
          <w14:ligatures w14:val="none"/>
        </w:rPr>
        <w:t xml:space="preserve"> για το όχημα το οποίο περιγράφεται στο τεκμήριο 21 και ήταν υπαρκτό, την υπογραφή της εγγύησης, τη μη εγγραφή του οχήματος στο όνομα της Εφεσίβλητης, τον τερματισμό της συμφωνίας </w:t>
      </w:r>
      <w:proofErr w:type="spellStart"/>
      <w:r>
        <w:rPr>
          <w:rFonts w:ascii="Bookman Old Style" w:eastAsia="Times New Roman" w:hAnsi="Bookman Old Style" w:cs="Times New Roman"/>
          <w:color w:val="000000"/>
          <w:kern w:val="0"/>
          <w:sz w:val="28"/>
          <w:szCs w:val="28"/>
          <w:lang w:val="el-GR"/>
          <w14:ligatures w14:val="none"/>
        </w:rPr>
        <w:t>ενοικιαγοράς</w:t>
      </w:r>
      <w:proofErr w:type="spellEnd"/>
      <w:r>
        <w:rPr>
          <w:rFonts w:ascii="Bookman Old Style" w:eastAsia="Times New Roman" w:hAnsi="Bookman Old Style" w:cs="Times New Roman"/>
          <w:color w:val="000000"/>
          <w:kern w:val="0"/>
          <w:sz w:val="28"/>
          <w:szCs w:val="28"/>
          <w:lang w:val="el-GR"/>
          <w14:ligatures w14:val="none"/>
        </w:rPr>
        <w:t xml:space="preserve"> με σχετική επιστολή και το οφειλόμενο ποσό. </w:t>
      </w:r>
    </w:p>
    <w:p w14:paraId="3DA5B59C" w14:textId="4C3861FD" w:rsidR="001F187B" w:rsidRDefault="001F187B" w:rsidP="00095549">
      <w:pPr>
        <w:spacing w:before="24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Ως εκ τούτου και ο τρίτος λόγος κρίνεται αβάσιμος και απορρίπτεται. </w:t>
      </w:r>
    </w:p>
    <w:p w14:paraId="5CA15518" w14:textId="660D11EF" w:rsidR="001F187B" w:rsidRDefault="006667DF" w:rsidP="00095549">
      <w:pPr>
        <w:spacing w:before="240" w:line="480" w:lineRule="auto"/>
        <w:ind w:firstLine="567"/>
        <w:jc w:val="both"/>
        <w:rPr>
          <w:rFonts w:ascii="Bookman Old Style" w:hAnsi="Bookman Old Style" w:cs="Arial"/>
          <w:sz w:val="28"/>
          <w:szCs w:val="28"/>
          <w:lang w:val="el-GR"/>
        </w:rPr>
      </w:pPr>
      <w:r>
        <w:rPr>
          <w:rFonts w:ascii="Bookman Old Style" w:eastAsia="Times New Roman" w:hAnsi="Bookman Old Style" w:cs="Times New Roman"/>
          <w:color w:val="000000"/>
          <w:kern w:val="0"/>
          <w:sz w:val="28"/>
          <w:szCs w:val="28"/>
          <w:lang w:val="el-GR"/>
          <w14:ligatures w14:val="none"/>
        </w:rPr>
        <w:t xml:space="preserve">Με τον τέταρτο λόγο έφεσης αποδίδεται ότι λανθασμένα το πρωτόδικο Δικαστήριο </w:t>
      </w:r>
      <w:r w:rsidR="00207788">
        <w:rPr>
          <w:rFonts w:ascii="Bookman Old Style" w:eastAsia="Times New Roman" w:hAnsi="Bookman Old Style" w:cs="Times New Roman"/>
          <w:color w:val="000000"/>
          <w:kern w:val="0"/>
          <w:sz w:val="28"/>
          <w:szCs w:val="28"/>
          <w:lang w:val="el-GR"/>
          <w14:ligatures w14:val="none"/>
        </w:rPr>
        <w:t>κατέληξε πως το όχημα ήταν υπαρκτό, στη βάση της αποδοχής ως αξιόπιστης της μαρτυρίας του ΜΕ2 και του τεκμηρίου 21. Αυτά τα ζητήματα έχουν ήδη απασχολήσει ανωτέρω. Στο πλαίσιο εξέτασης αυτού του λόγου, προσθέτουμε πως</w:t>
      </w:r>
      <w:r w:rsidR="0008759C">
        <w:rPr>
          <w:rFonts w:ascii="Bookman Old Style" w:eastAsia="Times New Roman" w:hAnsi="Bookman Old Style" w:cs="Times New Roman"/>
          <w:color w:val="000000"/>
          <w:kern w:val="0"/>
          <w:sz w:val="28"/>
          <w:szCs w:val="28"/>
          <w:lang w:val="el-GR"/>
          <w14:ligatures w14:val="none"/>
        </w:rPr>
        <w:t>, κατά την ανάλυση της νομικής πτυχής,</w:t>
      </w:r>
      <w:r w:rsidR="00207788">
        <w:rPr>
          <w:rFonts w:ascii="Bookman Old Style" w:eastAsia="Times New Roman" w:hAnsi="Bookman Old Style" w:cs="Times New Roman"/>
          <w:color w:val="000000"/>
          <w:kern w:val="0"/>
          <w:sz w:val="28"/>
          <w:szCs w:val="28"/>
          <w:lang w:val="el-GR"/>
          <w14:ligatures w14:val="none"/>
        </w:rPr>
        <w:t xml:space="preserve"> η κατάληξη του πρωτόδικο</w:t>
      </w:r>
      <w:r w:rsidR="0008759C">
        <w:rPr>
          <w:rFonts w:ascii="Bookman Old Style" w:eastAsia="Times New Roman" w:hAnsi="Bookman Old Style" w:cs="Times New Roman"/>
          <w:color w:val="000000"/>
          <w:kern w:val="0"/>
          <w:sz w:val="28"/>
          <w:szCs w:val="28"/>
          <w:lang w:val="el-GR"/>
          <w14:ligatures w14:val="none"/>
        </w:rPr>
        <w:t>υ</w:t>
      </w:r>
      <w:r w:rsidR="00207788">
        <w:rPr>
          <w:rFonts w:ascii="Bookman Old Style" w:eastAsia="Times New Roman" w:hAnsi="Bookman Old Style" w:cs="Times New Roman"/>
          <w:color w:val="000000"/>
          <w:kern w:val="0"/>
          <w:sz w:val="28"/>
          <w:szCs w:val="28"/>
          <w:lang w:val="el-GR"/>
          <w14:ligatures w14:val="none"/>
        </w:rPr>
        <w:t xml:space="preserve"> Δικαστηρίου για την ύπαρξη του οχήματος βασίστηκε τόσο στην αξιόπιστη μαρτυρία του </w:t>
      </w:r>
      <w:r w:rsidR="00207788">
        <w:rPr>
          <w:rFonts w:ascii="Bookman Old Style" w:eastAsia="Times New Roman" w:hAnsi="Bookman Old Style" w:cs="Times New Roman"/>
          <w:color w:val="000000"/>
          <w:kern w:val="0"/>
          <w:sz w:val="28"/>
          <w:szCs w:val="28"/>
          <w:lang w:val="el-GR"/>
          <w14:ligatures w14:val="none"/>
        </w:rPr>
        <w:lastRenderedPageBreak/>
        <w:t>ΜΕ2, όσο και στο τεκμήριο 21 και επιπρόσθετα στο τεκμήριο 17, παραπέμποντας μάλιστα και σε σχετική νομολογία. Ειδικότερα, το πρωτόδικο Δικαστήριο παρέπεμψε στ</w:t>
      </w:r>
      <w:r w:rsidR="00557498">
        <w:rPr>
          <w:rFonts w:ascii="Bookman Old Style" w:eastAsia="Times New Roman" w:hAnsi="Bookman Old Style" w:cs="Times New Roman"/>
          <w:color w:val="000000"/>
          <w:kern w:val="0"/>
          <w:sz w:val="28"/>
          <w:szCs w:val="28"/>
          <w:lang w:val="el-GR"/>
          <w14:ligatures w14:val="none"/>
        </w:rPr>
        <w:t>ις</w:t>
      </w:r>
      <w:r w:rsidR="00207788">
        <w:rPr>
          <w:rFonts w:ascii="Bookman Old Style" w:eastAsia="Times New Roman" w:hAnsi="Bookman Old Style" w:cs="Times New Roman"/>
          <w:color w:val="000000"/>
          <w:kern w:val="0"/>
          <w:sz w:val="28"/>
          <w:szCs w:val="28"/>
          <w:lang w:val="el-GR"/>
          <w14:ligatures w14:val="none"/>
        </w:rPr>
        <w:t xml:space="preserve"> υπ</w:t>
      </w:r>
      <w:r w:rsidR="00557498">
        <w:rPr>
          <w:rFonts w:ascii="Bookman Old Style" w:eastAsia="Times New Roman" w:hAnsi="Bookman Old Style" w:cs="Times New Roman"/>
          <w:color w:val="000000"/>
          <w:kern w:val="0"/>
          <w:sz w:val="28"/>
          <w:szCs w:val="28"/>
          <w:lang w:val="el-GR"/>
          <w14:ligatures w14:val="none"/>
        </w:rPr>
        <w:t>οθέσεις</w:t>
      </w:r>
      <w:r w:rsidR="00207788">
        <w:rPr>
          <w:rFonts w:ascii="Bookman Old Style" w:eastAsia="Times New Roman" w:hAnsi="Bookman Old Style" w:cs="Times New Roman"/>
          <w:color w:val="000000"/>
          <w:kern w:val="0"/>
          <w:sz w:val="28"/>
          <w:szCs w:val="28"/>
          <w:lang w:val="el-GR"/>
          <w14:ligatures w14:val="none"/>
        </w:rPr>
        <w:t xml:space="preserve"> </w:t>
      </w:r>
      <w:proofErr w:type="spellStart"/>
      <w:r w:rsidR="00B7653C" w:rsidRPr="00B7653C">
        <w:rPr>
          <w:rFonts w:ascii="Bookman Old Style" w:eastAsia="Times New Roman" w:hAnsi="Bookman Old Style" w:cs="Times New Roman"/>
          <w:b/>
          <w:bCs/>
          <w:i/>
          <w:iCs/>
          <w:color w:val="000000"/>
          <w:kern w:val="0"/>
          <w:sz w:val="28"/>
          <w:szCs w:val="28"/>
          <w:lang w:val="el-GR"/>
          <w14:ligatures w14:val="none"/>
        </w:rPr>
        <w:t>Αττεσλή</w:t>
      </w:r>
      <w:proofErr w:type="spellEnd"/>
      <w:r w:rsidR="00B7653C" w:rsidRPr="00B7653C">
        <w:rPr>
          <w:rFonts w:ascii="Bookman Old Style" w:eastAsia="Times New Roman" w:hAnsi="Bookman Old Style" w:cs="Times New Roman"/>
          <w:b/>
          <w:bCs/>
          <w:i/>
          <w:iCs/>
          <w:color w:val="000000"/>
          <w:kern w:val="0"/>
          <w:sz w:val="28"/>
          <w:szCs w:val="28"/>
          <w:lang w:val="el-GR"/>
          <w14:ligatures w14:val="none"/>
        </w:rPr>
        <w:t xml:space="preserve"> κ.ά. </w:t>
      </w:r>
      <w:r w:rsidR="00B7653C" w:rsidRPr="00B7653C">
        <w:rPr>
          <w:rFonts w:ascii="Bookman Old Style" w:eastAsia="Times New Roman" w:hAnsi="Bookman Old Style" w:cs="Times New Roman"/>
          <w:b/>
          <w:bCs/>
          <w:i/>
          <w:iCs/>
          <w:color w:val="000000"/>
          <w:kern w:val="0"/>
          <w:sz w:val="28"/>
          <w:szCs w:val="28"/>
          <w:lang w:val="en-GB"/>
          <w14:ligatures w14:val="none"/>
        </w:rPr>
        <w:t>v</w:t>
      </w:r>
      <w:r w:rsidR="00B7653C" w:rsidRPr="00095549">
        <w:rPr>
          <w:rFonts w:ascii="Bookman Old Style" w:eastAsia="Times New Roman" w:hAnsi="Bookman Old Style" w:cs="Times New Roman"/>
          <w:b/>
          <w:bCs/>
          <w:i/>
          <w:iCs/>
          <w:color w:val="000000"/>
          <w:kern w:val="0"/>
          <w:sz w:val="28"/>
          <w:szCs w:val="28"/>
          <w:lang w:val="el-GR"/>
          <w14:ligatures w14:val="none"/>
        </w:rPr>
        <w:t xml:space="preserve">. </w:t>
      </w:r>
      <w:r w:rsidR="00B7653C" w:rsidRPr="00B7653C">
        <w:rPr>
          <w:rFonts w:ascii="Bookman Old Style" w:eastAsia="Times New Roman" w:hAnsi="Bookman Old Style" w:cs="Times New Roman"/>
          <w:b/>
          <w:bCs/>
          <w:i/>
          <w:iCs/>
          <w:color w:val="000000"/>
          <w:kern w:val="0"/>
          <w:sz w:val="28"/>
          <w:szCs w:val="28"/>
          <w:lang w:val="el-GR"/>
          <w14:ligatures w14:val="none"/>
        </w:rPr>
        <w:t>Τράπεζα Κύπρου Δημόσια Εταιρεία Λτδ (2013) 1(Γ) Α.Α.Δ. 2222</w:t>
      </w:r>
      <w:r w:rsidR="00B7653C">
        <w:rPr>
          <w:rFonts w:ascii="Bookman Old Style" w:eastAsia="Times New Roman" w:hAnsi="Bookman Old Style" w:cs="Times New Roman"/>
          <w:color w:val="000000"/>
          <w:kern w:val="0"/>
          <w:sz w:val="28"/>
          <w:szCs w:val="28"/>
          <w:lang w:val="el-GR"/>
          <w14:ligatures w14:val="none"/>
        </w:rPr>
        <w:t xml:space="preserve"> </w:t>
      </w:r>
      <w:r w:rsidR="00B7653C" w:rsidRPr="00B7653C">
        <w:rPr>
          <w:rFonts w:ascii="Bookman Old Style" w:eastAsia="Times New Roman" w:hAnsi="Bookman Old Style" w:cs="Times New Roman"/>
          <w:color w:val="000000"/>
          <w:kern w:val="0"/>
          <w:sz w:val="28"/>
          <w:szCs w:val="28"/>
          <w:lang w:val="el-GR"/>
          <w14:ligatures w14:val="none"/>
        </w:rPr>
        <w:t>και</w:t>
      </w:r>
      <w:r w:rsidR="00B7653C">
        <w:rPr>
          <w:rFonts w:ascii="Bookman Old Style" w:eastAsia="Times New Roman" w:hAnsi="Bookman Old Style" w:cs="Times New Roman"/>
          <w:color w:val="000000"/>
          <w:kern w:val="0"/>
          <w:sz w:val="28"/>
          <w:szCs w:val="28"/>
          <w:lang w:val="el-GR"/>
          <w14:ligatures w14:val="none"/>
        </w:rPr>
        <w:t xml:space="preserve"> </w:t>
      </w:r>
      <w:r w:rsidR="00B7653C" w:rsidRPr="00B7653C">
        <w:rPr>
          <w:rFonts w:ascii="Bookman Old Style" w:eastAsia="Times New Roman" w:hAnsi="Bookman Old Style" w:cs="Times New Roman"/>
          <w:b/>
          <w:bCs/>
          <w:i/>
          <w:iCs/>
          <w:color w:val="000000"/>
          <w:kern w:val="0"/>
          <w:sz w:val="28"/>
          <w:szCs w:val="28"/>
          <w:lang w:val="en-GB"/>
          <w14:ligatures w14:val="none"/>
        </w:rPr>
        <w:t>Thomas</w:t>
      </w:r>
      <w:r w:rsidR="00B7653C" w:rsidRPr="00095549">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B7653C" w:rsidRPr="00B7653C">
        <w:rPr>
          <w:rFonts w:ascii="Bookman Old Style" w:eastAsia="Times New Roman" w:hAnsi="Bookman Old Style" w:cs="Times New Roman"/>
          <w:b/>
          <w:bCs/>
          <w:i/>
          <w:iCs/>
          <w:color w:val="000000"/>
          <w:kern w:val="0"/>
          <w:sz w:val="28"/>
          <w:szCs w:val="28"/>
          <w:lang w:val="en-GB"/>
          <w14:ligatures w14:val="none"/>
        </w:rPr>
        <w:t>Liobay</w:t>
      </w:r>
      <w:proofErr w:type="spellEnd"/>
      <w:r w:rsidR="00B7653C" w:rsidRPr="00095549">
        <w:rPr>
          <w:rFonts w:ascii="Bookman Old Style" w:eastAsia="Times New Roman" w:hAnsi="Bookman Old Style" w:cs="Times New Roman"/>
          <w:b/>
          <w:bCs/>
          <w:i/>
          <w:iCs/>
          <w:color w:val="000000"/>
          <w:kern w:val="0"/>
          <w:sz w:val="28"/>
          <w:szCs w:val="28"/>
          <w:lang w:val="el-GR"/>
          <w14:ligatures w14:val="none"/>
        </w:rPr>
        <w:t xml:space="preserve"> </w:t>
      </w:r>
      <w:r w:rsidR="00B7653C" w:rsidRPr="00B7653C">
        <w:rPr>
          <w:rFonts w:ascii="Bookman Old Style" w:eastAsia="Times New Roman" w:hAnsi="Bookman Old Style" w:cs="Times New Roman"/>
          <w:b/>
          <w:bCs/>
          <w:i/>
          <w:iCs/>
          <w:color w:val="000000"/>
          <w:kern w:val="0"/>
          <w:sz w:val="28"/>
          <w:szCs w:val="28"/>
          <w:lang w:val="en-GB"/>
          <w14:ligatures w14:val="none"/>
        </w:rPr>
        <w:t>Developments</w:t>
      </w:r>
      <w:r w:rsidR="00B7653C" w:rsidRPr="00095549">
        <w:rPr>
          <w:rFonts w:ascii="Bookman Old Style" w:eastAsia="Times New Roman" w:hAnsi="Bookman Old Style" w:cs="Times New Roman"/>
          <w:b/>
          <w:bCs/>
          <w:i/>
          <w:iCs/>
          <w:color w:val="000000"/>
          <w:kern w:val="0"/>
          <w:sz w:val="28"/>
          <w:szCs w:val="28"/>
          <w:lang w:val="el-GR"/>
          <w14:ligatures w14:val="none"/>
        </w:rPr>
        <w:t xml:space="preserve"> </w:t>
      </w:r>
      <w:r w:rsidR="00B7653C" w:rsidRPr="00B7653C">
        <w:rPr>
          <w:rFonts w:ascii="Bookman Old Style" w:eastAsia="Times New Roman" w:hAnsi="Bookman Old Style" w:cs="Times New Roman"/>
          <w:b/>
          <w:bCs/>
          <w:i/>
          <w:iCs/>
          <w:color w:val="000000"/>
          <w:kern w:val="0"/>
          <w:sz w:val="28"/>
          <w:szCs w:val="28"/>
          <w:lang w:val="en-GB"/>
          <w14:ligatures w14:val="none"/>
        </w:rPr>
        <w:t>Ltd</w:t>
      </w:r>
      <w:r w:rsidR="00B7653C" w:rsidRPr="00095549">
        <w:rPr>
          <w:rFonts w:ascii="Bookman Old Style" w:eastAsia="Times New Roman" w:hAnsi="Bookman Old Style" w:cs="Times New Roman"/>
          <w:b/>
          <w:bCs/>
          <w:i/>
          <w:iCs/>
          <w:color w:val="000000"/>
          <w:kern w:val="0"/>
          <w:sz w:val="28"/>
          <w:szCs w:val="28"/>
          <w:lang w:val="el-GR"/>
          <w14:ligatures w14:val="none"/>
        </w:rPr>
        <w:t xml:space="preserve"> </w:t>
      </w:r>
      <w:r w:rsidR="00B7653C" w:rsidRPr="00B7653C">
        <w:rPr>
          <w:rFonts w:ascii="Bookman Old Style" w:eastAsia="Times New Roman" w:hAnsi="Bookman Old Style" w:cs="Times New Roman"/>
          <w:b/>
          <w:bCs/>
          <w:i/>
          <w:iCs/>
          <w:color w:val="000000"/>
          <w:kern w:val="0"/>
          <w:sz w:val="28"/>
          <w:szCs w:val="28"/>
          <w:lang w:val="el-GR"/>
          <w14:ligatures w14:val="none"/>
        </w:rPr>
        <w:t xml:space="preserve">κ.ά. </w:t>
      </w:r>
      <w:r w:rsidR="00B7653C" w:rsidRPr="00B7653C">
        <w:rPr>
          <w:rFonts w:ascii="Bookman Old Style" w:eastAsia="Times New Roman" w:hAnsi="Bookman Old Style" w:cs="Times New Roman"/>
          <w:b/>
          <w:bCs/>
          <w:i/>
          <w:iCs/>
          <w:color w:val="000000"/>
          <w:kern w:val="0"/>
          <w:sz w:val="28"/>
          <w:szCs w:val="28"/>
          <w:lang w:val="en-GB"/>
          <w14:ligatures w14:val="none"/>
        </w:rPr>
        <w:t>v</w:t>
      </w:r>
      <w:r w:rsidR="00B7653C" w:rsidRPr="00095549">
        <w:rPr>
          <w:rFonts w:ascii="Bookman Old Style" w:eastAsia="Times New Roman" w:hAnsi="Bookman Old Style" w:cs="Times New Roman"/>
          <w:b/>
          <w:bCs/>
          <w:i/>
          <w:iCs/>
          <w:color w:val="000000"/>
          <w:kern w:val="0"/>
          <w:sz w:val="28"/>
          <w:szCs w:val="28"/>
          <w:lang w:val="el-GR"/>
          <w14:ligatures w14:val="none"/>
        </w:rPr>
        <w:t xml:space="preserve">. </w:t>
      </w:r>
      <w:r w:rsidR="00B7653C" w:rsidRPr="00B7653C">
        <w:rPr>
          <w:rFonts w:ascii="Bookman Old Style" w:eastAsia="Times New Roman" w:hAnsi="Bookman Old Style" w:cs="Times New Roman"/>
          <w:b/>
          <w:bCs/>
          <w:i/>
          <w:iCs/>
          <w:color w:val="000000"/>
          <w:kern w:val="0"/>
          <w:sz w:val="28"/>
          <w:szCs w:val="28"/>
          <w:lang w:val="en-GB"/>
          <w14:ligatures w14:val="none"/>
        </w:rPr>
        <w:t>Marfin</w:t>
      </w:r>
      <w:r w:rsidR="00B7653C" w:rsidRPr="00095549">
        <w:rPr>
          <w:rFonts w:ascii="Bookman Old Style" w:eastAsia="Times New Roman" w:hAnsi="Bookman Old Style" w:cs="Times New Roman"/>
          <w:b/>
          <w:bCs/>
          <w:i/>
          <w:iCs/>
          <w:color w:val="000000"/>
          <w:kern w:val="0"/>
          <w:sz w:val="28"/>
          <w:szCs w:val="28"/>
          <w:lang w:val="el-GR"/>
          <w14:ligatures w14:val="none"/>
        </w:rPr>
        <w:t xml:space="preserve"> </w:t>
      </w:r>
      <w:r w:rsidR="00B7653C" w:rsidRPr="00B7653C">
        <w:rPr>
          <w:rFonts w:ascii="Bookman Old Style" w:eastAsia="Times New Roman" w:hAnsi="Bookman Old Style" w:cs="Times New Roman"/>
          <w:b/>
          <w:bCs/>
          <w:i/>
          <w:iCs/>
          <w:color w:val="000000"/>
          <w:kern w:val="0"/>
          <w:sz w:val="28"/>
          <w:szCs w:val="28"/>
          <w:lang w:val="en-GB"/>
          <w14:ligatures w14:val="none"/>
        </w:rPr>
        <w:t>Popular</w:t>
      </w:r>
      <w:r w:rsidR="00B7653C" w:rsidRPr="00095549">
        <w:rPr>
          <w:rFonts w:ascii="Bookman Old Style" w:eastAsia="Times New Roman" w:hAnsi="Bookman Old Style" w:cs="Times New Roman"/>
          <w:b/>
          <w:bCs/>
          <w:i/>
          <w:iCs/>
          <w:color w:val="000000"/>
          <w:kern w:val="0"/>
          <w:sz w:val="28"/>
          <w:szCs w:val="28"/>
          <w:lang w:val="el-GR"/>
          <w14:ligatures w14:val="none"/>
        </w:rPr>
        <w:t xml:space="preserve"> </w:t>
      </w:r>
      <w:r w:rsidR="00B7653C" w:rsidRPr="00B7653C">
        <w:rPr>
          <w:rFonts w:ascii="Bookman Old Style" w:eastAsia="Times New Roman" w:hAnsi="Bookman Old Style" w:cs="Times New Roman"/>
          <w:b/>
          <w:bCs/>
          <w:i/>
          <w:iCs/>
          <w:color w:val="000000"/>
          <w:kern w:val="0"/>
          <w:sz w:val="28"/>
          <w:szCs w:val="28"/>
          <w:lang w:val="en-GB"/>
          <w14:ligatures w14:val="none"/>
        </w:rPr>
        <w:t>Bank</w:t>
      </w:r>
      <w:r w:rsidR="00B7653C" w:rsidRPr="00095549">
        <w:rPr>
          <w:rFonts w:ascii="Bookman Old Style" w:eastAsia="Times New Roman" w:hAnsi="Bookman Old Style" w:cs="Times New Roman"/>
          <w:b/>
          <w:bCs/>
          <w:i/>
          <w:iCs/>
          <w:color w:val="000000"/>
          <w:kern w:val="0"/>
          <w:sz w:val="28"/>
          <w:szCs w:val="28"/>
          <w:lang w:val="el-GR"/>
          <w14:ligatures w14:val="none"/>
        </w:rPr>
        <w:t xml:space="preserve"> </w:t>
      </w:r>
      <w:r w:rsidR="00B7653C" w:rsidRPr="00B7653C">
        <w:rPr>
          <w:rFonts w:ascii="Bookman Old Style" w:eastAsia="Times New Roman" w:hAnsi="Bookman Old Style" w:cs="Times New Roman"/>
          <w:b/>
          <w:bCs/>
          <w:i/>
          <w:iCs/>
          <w:color w:val="000000"/>
          <w:kern w:val="0"/>
          <w:sz w:val="28"/>
          <w:szCs w:val="28"/>
          <w:lang w:val="en-GB"/>
          <w14:ligatures w14:val="none"/>
        </w:rPr>
        <w:t>Co</w:t>
      </w:r>
      <w:r w:rsidR="00B7653C" w:rsidRPr="00095549">
        <w:rPr>
          <w:rFonts w:ascii="Bookman Old Style" w:eastAsia="Times New Roman" w:hAnsi="Bookman Old Style" w:cs="Times New Roman"/>
          <w:b/>
          <w:bCs/>
          <w:i/>
          <w:iCs/>
          <w:color w:val="000000"/>
          <w:kern w:val="0"/>
          <w:sz w:val="28"/>
          <w:szCs w:val="28"/>
          <w:lang w:val="el-GR"/>
          <w14:ligatures w14:val="none"/>
        </w:rPr>
        <w:t xml:space="preserve"> </w:t>
      </w:r>
      <w:r w:rsidR="00B7653C" w:rsidRPr="00B7653C">
        <w:rPr>
          <w:rFonts w:ascii="Bookman Old Style" w:eastAsia="Times New Roman" w:hAnsi="Bookman Old Style" w:cs="Times New Roman"/>
          <w:b/>
          <w:bCs/>
          <w:i/>
          <w:iCs/>
          <w:color w:val="000000"/>
          <w:kern w:val="0"/>
          <w:sz w:val="28"/>
          <w:szCs w:val="28"/>
          <w:lang w:val="en-GB"/>
          <w14:ligatures w14:val="none"/>
        </w:rPr>
        <w:t>Ltd</w:t>
      </w:r>
      <w:r w:rsidR="00B7653C" w:rsidRPr="00095549">
        <w:rPr>
          <w:rFonts w:ascii="Bookman Old Style" w:eastAsia="Times New Roman" w:hAnsi="Bookman Old Style" w:cs="Times New Roman"/>
          <w:color w:val="000000"/>
          <w:kern w:val="0"/>
          <w:sz w:val="28"/>
          <w:szCs w:val="28"/>
          <w:lang w:val="el-GR"/>
          <w14:ligatures w14:val="none"/>
        </w:rPr>
        <w:t xml:space="preserve"> </w:t>
      </w:r>
      <w:r w:rsidR="00B7653C" w:rsidRPr="00095549">
        <w:rPr>
          <w:rFonts w:ascii="Bookman Old Style" w:hAnsi="Bookman Old Style"/>
          <w:b/>
          <w:bCs/>
          <w:i/>
          <w:iCs/>
          <w:color w:val="000000"/>
          <w:sz w:val="28"/>
          <w:szCs w:val="28"/>
          <w:lang w:val="el-GR"/>
        </w:rPr>
        <w:t>(2011) 1(Γ) Α.Α.Δ. 1749</w:t>
      </w:r>
      <w:r w:rsidR="00B7653C" w:rsidRPr="00095549">
        <w:rPr>
          <w:rFonts w:ascii="Bookman Old Style" w:hAnsi="Bookman Old Style"/>
          <w:color w:val="000000"/>
          <w:sz w:val="28"/>
          <w:szCs w:val="28"/>
          <w:lang w:val="el-GR"/>
        </w:rPr>
        <w:t>,</w:t>
      </w:r>
      <w:r w:rsidR="00B7653C">
        <w:rPr>
          <w:rFonts w:ascii="Bookman Old Style" w:hAnsi="Bookman Old Style"/>
          <w:color w:val="000000"/>
          <w:sz w:val="28"/>
          <w:szCs w:val="28"/>
          <w:lang w:val="el-GR"/>
        </w:rPr>
        <w:t xml:space="preserve"> στις οποίες λέχθηκε ότι </w:t>
      </w:r>
      <w:r w:rsidR="00B7653C" w:rsidRPr="00B7653C">
        <w:rPr>
          <w:rFonts w:ascii="Bookman Old Style" w:hAnsi="Bookman Old Style" w:cs="Arial"/>
          <w:sz w:val="28"/>
          <w:szCs w:val="28"/>
          <w:lang w:val="el-GR"/>
        </w:rPr>
        <w:t>η</w:t>
      </w:r>
      <w:r w:rsidR="00B7653C" w:rsidRPr="00095549">
        <w:rPr>
          <w:rFonts w:ascii="Bookman Old Style" w:hAnsi="Bookman Old Style" w:cs="Arial"/>
          <w:sz w:val="28"/>
          <w:szCs w:val="28"/>
          <w:lang w:val="el-GR"/>
        </w:rPr>
        <w:t xml:space="preserve"> ύπαρξη των εμπορευμάτων απέκλεισε την εφαρμογή νομολογίας κατά την οποία αποφασίστηκε εικονικότητα λόγω ανυπαρξίας εμπορευμάτων.</w:t>
      </w:r>
      <w:r w:rsidR="00B7653C" w:rsidRPr="00B7653C">
        <w:rPr>
          <w:rFonts w:ascii="Bookman Old Style" w:hAnsi="Bookman Old Style" w:cs="Arial"/>
          <w:sz w:val="28"/>
          <w:szCs w:val="28"/>
        </w:rPr>
        <w:t> </w:t>
      </w:r>
      <w:r w:rsidR="0002368B">
        <w:rPr>
          <w:rFonts w:ascii="Bookman Old Style" w:hAnsi="Bookman Old Style" w:cs="Arial"/>
          <w:sz w:val="28"/>
          <w:szCs w:val="28"/>
          <w:lang w:val="el-GR"/>
        </w:rPr>
        <w:t>Τ</w:t>
      </w:r>
      <w:r w:rsidR="00025BB8">
        <w:rPr>
          <w:rFonts w:ascii="Bookman Old Style" w:hAnsi="Bookman Old Style" w:cs="Arial"/>
          <w:sz w:val="28"/>
          <w:szCs w:val="28"/>
          <w:lang w:val="el-GR"/>
        </w:rPr>
        <w:t xml:space="preserve">ο πρωτόδικο Δικαστήριο εφάρμοσε ορθά τις νομικές αρχές αναφορικά με το βάρος απόδειξης, ήτοι ότι η Εφεσίβλητη είχε το βάρος να αποδείξει την έγκυρη κατάρτιση της συμφωνίας </w:t>
      </w:r>
      <w:proofErr w:type="spellStart"/>
      <w:r w:rsidR="00025BB8">
        <w:rPr>
          <w:rFonts w:ascii="Bookman Old Style" w:hAnsi="Bookman Old Style" w:cs="Arial"/>
          <w:sz w:val="28"/>
          <w:szCs w:val="28"/>
          <w:lang w:val="el-GR"/>
        </w:rPr>
        <w:t>ενοικιαγοράς</w:t>
      </w:r>
      <w:proofErr w:type="spellEnd"/>
      <w:r w:rsidR="00025BB8">
        <w:rPr>
          <w:rFonts w:ascii="Bookman Old Style" w:hAnsi="Bookman Old Style" w:cs="Arial"/>
          <w:sz w:val="28"/>
          <w:szCs w:val="28"/>
          <w:lang w:val="el-GR"/>
        </w:rPr>
        <w:t xml:space="preserve"> και ότι αυτή αφορούσε σε υπαρκτό όχημα το οποίο παρελήφθη από την ίδια, ενώ ο Εφεσείων έφερε το βάρος απόδειξης της εικονικότητας της εν λόγω συμφωνίας. Σχετικά παρέπεμψε στις υποθέσεις </w:t>
      </w:r>
      <w:r w:rsidR="00E118A6" w:rsidRPr="00B115AD">
        <w:rPr>
          <w:rFonts w:ascii="Bookman Old Style" w:hAnsi="Bookman Old Style" w:cs="Arial"/>
          <w:b/>
          <w:bCs/>
          <w:i/>
          <w:iCs/>
          <w:sz w:val="28"/>
          <w:szCs w:val="28"/>
          <w:lang w:val="el-GR"/>
        </w:rPr>
        <w:t xml:space="preserve">Κωνσταντίνου κ.ά. </w:t>
      </w:r>
      <w:r w:rsidR="00E118A6" w:rsidRPr="00B115AD">
        <w:rPr>
          <w:rFonts w:ascii="Bookman Old Style" w:hAnsi="Bookman Old Style" w:cs="Arial"/>
          <w:b/>
          <w:bCs/>
          <w:i/>
          <w:iCs/>
          <w:sz w:val="28"/>
          <w:szCs w:val="28"/>
          <w:lang w:val="en-GB"/>
        </w:rPr>
        <w:t>v</w:t>
      </w:r>
      <w:r w:rsidR="00E118A6" w:rsidRPr="00095549">
        <w:rPr>
          <w:rFonts w:ascii="Bookman Old Style" w:hAnsi="Bookman Old Style" w:cs="Arial"/>
          <w:b/>
          <w:bCs/>
          <w:i/>
          <w:iCs/>
          <w:sz w:val="28"/>
          <w:szCs w:val="28"/>
          <w:lang w:val="el-GR"/>
        </w:rPr>
        <w:t>.</w:t>
      </w:r>
      <w:r w:rsidR="00E118A6" w:rsidRPr="00095549">
        <w:rPr>
          <w:rFonts w:ascii="Bookman Old Style" w:hAnsi="Bookman Old Style" w:cs="Arial"/>
          <w:sz w:val="28"/>
          <w:szCs w:val="28"/>
          <w:lang w:val="el-GR"/>
        </w:rPr>
        <w:t xml:space="preserve"> </w:t>
      </w:r>
      <w:r w:rsidR="00E118A6" w:rsidRPr="009B63C8">
        <w:rPr>
          <w:rFonts w:ascii="Bookman Old Style" w:hAnsi="Bookman Old Style" w:cs="Arial"/>
          <w:b/>
          <w:bCs/>
          <w:i/>
          <w:iCs/>
          <w:sz w:val="28"/>
          <w:szCs w:val="28"/>
          <w:lang w:val="el-GR"/>
        </w:rPr>
        <w:t>Λαϊκή</w:t>
      </w:r>
      <w:r w:rsidR="00E118A6">
        <w:rPr>
          <w:rFonts w:ascii="Bookman Old Style" w:hAnsi="Bookman Old Style" w:cs="Arial"/>
          <w:b/>
          <w:bCs/>
          <w:i/>
          <w:iCs/>
          <w:sz w:val="28"/>
          <w:szCs w:val="28"/>
          <w:lang w:val="el-GR"/>
        </w:rPr>
        <w:t>ς</w:t>
      </w:r>
      <w:r w:rsidR="00E118A6" w:rsidRPr="009B63C8">
        <w:rPr>
          <w:rFonts w:ascii="Bookman Old Style" w:hAnsi="Bookman Old Style" w:cs="Arial"/>
          <w:b/>
          <w:bCs/>
          <w:i/>
          <w:iCs/>
          <w:sz w:val="28"/>
          <w:szCs w:val="28"/>
          <w:lang w:val="el-GR"/>
        </w:rPr>
        <w:t xml:space="preserve"> Κυπριακή</w:t>
      </w:r>
      <w:r w:rsidR="00E118A6">
        <w:rPr>
          <w:rFonts w:ascii="Bookman Old Style" w:hAnsi="Bookman Old Style" w:cs="Arial"/>
          <w:b/>
          <w:bCs/>
          <w:i/>
          <w:iCs/>
          <w:sz w:val="28"/>
          <w:szCs w:val="28"/>
          <w:lang w:val="el-GR"/>
        </w:rPr>
        <w:t>ς</w:t>
      </w:r>
      <w:r w:rsidR="00E118A6" w:rsidRPr="009B63C8">
        <w:rPr>
          <w:rFonts w:ascii="Bookman Old Style" w:hAnsi="Bookman Old Style" w:cs="Arial"/>
          <w:b/>
          <w:bCs/>
          <w:i/>
          <w:iCs/>
          <w:sz w:val="28"/>
          <w:szCs w:val="28"/>
          <w:lang w:val="el-GR"/>
        </w:rPr>
        <w:t xml:space="preserve"> Τράπεζα</w:t>
      </w:r>
      <w:r w:rsidR="00E118A6">
        <w:rPr>
          <w:rFonts w:ascii="Bookman Old Style" w:hAnsi="Bookman Old Style" w:cs="Arial"/>
          <w:b/>
          <w:bCs/>
          <w:i/>
          <w:iCs/>
          <w:sz w:val="28"/>
          <w:szCs w:val="28"/>
          <w:lang w:val="el-GR"/>
        </w:rPr>
        <w:t>ς</w:t>
      </w:r>
      <w:r w:rsidR="00E118A6" w:rsidRPr="009B63C8">
        <w:rPr>
          <w:rFonts w:ascii="Bookman Old Style" w:hAnsi="Bookman Old Style" w:cs="Arial"/>
          <w:b/>
          <w:bCs/>
          <w:i/>
          <w:iCs/>
          <w:sz w:val="28"/>
          <w:szCs w:val="28"/>
          <w:lang w:val="el-GR"/>
        </w:rPr>
        <w:t xml:space="preserve"> (Χρηματοδοτήσεις) Λτδ (20</w:t>
      </w:r>
      <w:r w:rsidR="00E118A6" w:rsidRPr="00095549">
        <w:rPr>
          <w:rFonts w:ascii="Bookman Old Style" w:hAnsi="Bookman Old Style" w:cs="Arial"/>
          <w:b/>
          <w:bCs/>
          <w:i/>
          <w:iCs/>
          <w:sz w:val="28"/>
          <w:szCs w:val="28"/>
          <w:lang w:val="el-GR"/>
        </w:rPr>
        <w:t>06</w:t>
      </w:r>
      <w:r w:rsidR="00E118A6" w:rsidRPr="009B63C8">
        <w:rPr>
          <w:rFonts w:ascii="Bookman Old Style" w:hAnsi="Bookman Old Style" w:cs="Arial"/>
          <w:b/>
          <w:bCs/>
          <w:i/>
          <w:iCs/>
          <w:sz w:val="28"/>
          <w:szCs w:val="28"/>
          <w:lang w:val="el-GR"/>
        </w:rPr>
        <w:t>) 1(</w:t>
      </w:r>
      <w:r w:rsidR="00E118A6">
        <w:rPr>
          <w:rFonts w:ascii="Bookman Old Style" w:hAnsi="Bookman Old Style" w:cs="Arial"/>
          <w:b/>
          <w:bCs/>
          <w:i/>
          <w:iCs/>
          <w:sz w:val="28"/>
          <w:szCs w:val="28"/>
          <w:lang w:val="el-GR"/>
        </w:rPr>
        <w:t>Β</w:t>
      </w:r>
      <w:r w:rsidR="00E118A6" w:rsidRPr="009B63C8">
        <w:rPr>
          <w:rFonts w:ascii="Bookman Old Style" w:hAnsi="Bookman Old Style" w:cs="Arial"/>
          <w:b/>
          <w:bCs/>
          <w:i/>
          <w:iCs/>
          <w:sz w:val="28"/>
          <w:szCs w:val="28"/>
          <w:lang w:val="el-GR"/>
        </w:rPr>
        <w:t xml:space="preserve">) Α.Α.Δ. </w:t>
      </w:r>
      <w:r w:rsidR="00E118A6">
        <w:rPr>
          <w:rFonts w:ascii="Bookman Old Style" w:hAnsi="Bookman Old Style" w:cs="Arial"/>
          <w:b/>
          <w:bCs/>
          <w:i/>
          <w:iCs/>
          <w:sz w:val="28"/>
          <w:szCs w:val="28"/>
          <w:lang w:val="el-GR"/>
        </w:rPr>
        <w:t>781</w:t>
      </w:r>
      <w:r w:rsidR="00E118A6">
        <w:rPr>
          <w:rFonts w:ascii="Bookman Old Style" w:hAnsi="Bookman Old Style" w:cs="Arial"/>
          <w:sz w:val="28"/>
          <w:szCs w:val="28"/>
          <w:lang w:val="el-GR"/>
        </w:rPr>
        <w:t xml:space="preserve">, </w:t>
      </w:r>
      <w:r w:rsidR="0045283E" w:rsidRPr="00480C25">
        <w:rPr>
          <w:rFonts w:ascii="Bookman Old Style" w:hAnsi="Bookman Old Style" w:cs="Arial"/>
          <w:b/>
          <w:bCs/>
          <w:i/>
          <w:iCs/>
          <w:sz w:val="28"/>
          <w:szCs w:val="28"/>
          <w:lang w:val="en-GB"/>
        </w:rPr>
        <w:t>T</w:t>
      </w:r>
      <w:r w:rsidR="0045283E" w:rsidRPr="00480C25">
        <w:rPr>
          <w:rFonts w:ascii="Bookman Old Style" w:hAnsi="Bookman Old Style" w:cs="Arial"/>
          <w:b/>
          <w:bCs/>
          <w:i/>
          <w:iCs/>
          <w:sz w:val="28"/>
          <w:szCs w:val="28"/>
          <w:lang w:val="el-GR"/>
        </w:rPr>
        <w:t>.</w:t>
      </w:r>
      <w:r w:rsidR="0045283E" w:rsidRPr="00480C25">
        <w:rPr>
          <w:rFonts w:ascii="Bookman Old Style" w:hAnsi="Bookman Old Style" w:cs="Arial"/>
          <w:b/>
          <w:bCs/>
          <w:i/>
          <w:iCs/>
          <w:sz w:val="28"/>
          <w:szCs w:val="28"/>
          <w:lang w:val="en-GB"/>
        </w:rPr>
        <w:t>J</w:t>
      </w:r>
      <w:r w:rsidR="0045283E" w:rsidRPr="00480C25">
        <w:rPr>
          <w:rFonts w:ascii="Bookman Old Style" w:hAnsi="Bookman Old Style" w:cs="Arial"/>
          <w:b/>
          <w:bCs/>
          <w:i/>
          <w:iCs/>
          <w:sz w:val="28"/>
          <w:szCs w:val="28"/>
          <w:lang w:val="el-GR"/>
        </w:rPr>
        <w:t>.</w:t>
      </w:r>
      <w:r w:rsidR="0045283E" w:rsidRPr="00480C25">
        <w:rPr>
          <w:rFonts w:ascii="Bookman Old Style" w:hAnsi="Bookman Old Style" w:cs="Arial"/>
          <w:b/>
          <w:bCs/>
          <w:i/>
          <w:iCs/>
          <w:sz w:val="28"/>
          <w:szCs w:val="28"/>
          <w:lang w:val="en-GB"/>
        </w:rPr>
        <w:t>S</w:t>
      </w:r>
      <w:r w:rsidR="0045283E" w:rsidRPr="00480C25">
        <w:rPr>
          <w:rFonts w:ascii="Bookman Old Style" w:hAnsi="Bookman Old Style" w:cs="Arial"/>
          <w:b/>
          <w:bCs/>
          <w:i/>
          <w:iCs/>
          <w:sz w:val="28"/>
          <w:szCs w:val="28"/>
          <w:lang w:val="el-GR"/>
        </w:rPr>
        <w:t xml:space="preserve">. </w:t>
      </w:r>
      <w:r w:rsidR="0045283E" w:rsidRPr="00480C25">
        <w:rPr>
          <w:rFonts w:ascii="Bookman Old Style" w:hAnsi="Bookman Old Style" w:cs="Arial"/>
          <w:b/>
          <w:bCs/>
          <w:i/>
          <w:iCs/>
          <w:sz w:val="28"/>
          <w:szCs w:val="28"/>
          <w:lang w:val="en-GB"/>
        </w:rPr>
        <w:t>Enterprises</w:t>
      </w:r>
      <w:r w:rsidR="0045283E" w:rsidRPr="00480C25">
        <w:rPr>
          <w:rFonts w:ascii="Bookman Old Style" w:hAnsi="Bookman Old Style" w:cs="Arial"/>
          <w:b/>
          <w:bCs/>
          <w:i/>
          <w:iCs/>
          <w:sz w:val="28"/>
          <w:szCs w:val="28"/>
          <w:lang w:val="el-GR"/>
        </w:rPr>
        <w:t xml:space="preserve"> </w:t>
      </w:r>
      <w:r w:rsidR="0045283E" w:rsidRPr="00480C25">
        <w:rPr>
          <w:rFonts w:ascii="Bookman Old Style" w:hAnsi="Bookman Old Style" w:cs="Arial"/>
          <w:b/>
          <w:bCs/>
          <w:i/>
          <w:iCs/>
          <w:sz w:val="28"/>
          <w:szCs w:val="28"/>
          <w:lang w:val="en-GB"/>
        </w:rPr>
        <w:t>Ltd</w:t>
      </w:r>
      <w:r w:rsidR="0045283E" w:rsidRPr="00480C25">
        <w:rPr>
          <w:rFonts w:ascii="Bookman Old Style" w:hAnsi="Bookman Old Style" w:cs="Arial"/>
          <w:b/>
          <w:bCs/>
          <w:i/>
          <w:iCs/>
          <w:sz w:val="28"/>
          <w:szCs w:val="28"/>
          <w:lang w:val="el-GR"/>
        </w:rPr>
        <w:t xml:space="preserve"> κ.ά. </w:t>
      </w:r>
      <w:r w:rsidR="0045283E" w:rsidRPr="00480C25">
        <w:rPr>
          <w:rFonts w:ascii="Bookman Old Style" w:hAnsi="Bookman Old Style" w:cs="Arial"/>
          <w:b/>
          <w:bCs/>
          <w:i/>
          <w:iCs/>
          <w:sz w:val="28"/>
          <w:szCs w:val="28"/>
          <w:lang w:val="en-GB"/>
        </w:rPr>
        <w:t>v</w:t>
      </w:r>
      <w:r w:rsidR="0045283E" w:rsidRPr="00480C25">
        <w:rPr>
          <w:rFonts w:ascii="Bookman Old Style" w:hAnsi="Bookman Old Style" w:cs="Arial"/>
          <w:b/>
          <w:bCs/>
          <w:i/>
          <w:iCs/>
          <w:sz w:val="28"/>
          <w:szCs w:val="28"/>
          <w:lang w:val="el-GR"/>
        </w:rPr>
        <w:t xml:space="preserve">. </w:t>
      </w:r>
      <w:r w:rsidR="0045283E" w:rsidRPr="009B63C8">
        <w:rPr>
          <w:rFonts w:ascii="Bookman Old Style" w:hAnsi="Bookman Old Style" w:cs="Arial"/>
          <w:b/>
          <w:bCs/>
          <w:i/>
          <w:iCs/>
          <w:sz w:val="28"/>
          <w:szCs w:val="28"/>
          <w:lang w:val="el-GR"/>
        </w:rPr>
        <w:t>Λαϊκή</w:t>
      </w:r>
      <w:r w:rsidR="0045283E">
        <w:rPr>
          <w:rFonts w:ascii="Bookman Old Style" w:hAnsi="Bookman Old Style" w:cs="Arial"/>
          <w:b/>
          <w:bCs/>
          <w:i/>
          <w:iCs/>
          <w:sz w:val="28"/>
          <w:szCs w:val="28"/>
          <w:lang w:val="el-GR"/>
        </w:rPr>
        <w:t>ς</w:t>
      </w:r>
      <w:r w:rsidR="0045283E" w:rsidRPr="009B63C8">
        <w:rPr>
          <w:rFonts w:ascii="Bookman Old Style" w:hAnsi="Bookman Old Style" w:cs="Arial"/>
          <w:b/>
          <w:bCs/>
          <w:i/>
          <w:iCs/>
          <w:sz w:val="28"/>
          <w:szCs w:val="28"/>
          <w:lang w:val="el-GR"/>
        </w:rPr>
        <w:t xml:space="preserve"> Κυπριακή</w:t>
      </w:r>
      <w:r w:rsidR="0045283E">
        <w:rPr>
          <w:rFonts w:ascii="Bookman Old Style" w:hAnsi="Bookman Old Style" w:cs="Arial"/>
          <w:b/>
          <w:bCs/>
          <w:i/>
          <w:iCs/>
          <w:sz w:val="28"/>
          <w:szCs w:val="28"/>
          <w:lang w:val="el-GR"/>
        </w:rPr>
        <w:t>ς</w:t>
      </w:r>
      <w:r w:rsidR="0045283E" w:rsidRPr="009B63C8">
        <w:rPr>
          <w:rFonts w:ascii="Bookman Old Style" w:hAnsi="Bookman Old Style" w:cs="Arial"/>
          <w:b/>
          <w:bCs/>
          <w:i/>
          <w:iCs/>
          <w:sz w:val="28"/>
          <w:szCs w:val="28"/>
          <w:lang w:val="el-GR"/>
        </w:rPr>
        <w:t xml:space="preserve"> Τράπεζα</w:t>
      </w:r>
      <w:r w:rsidR="0045283E">
        <w:rPr>
          <w:rFonts w:ascii="Bookman Old Style" w:hAnsi="Bookman Old Style" w:cs="Arial"/>
          <w:b/>
          <w:bCs/>
          <w:i/>
          <w:iCs/>
          <w:sz w:val="28"/>
          <w:szCs w:val="28"/>
          <w:lang w:val="el-GR"/>
        </w:rPr>
        <w:t>ς</w:t>
      </w:r>
      <w:r w:rsidR="0045283E" w:rsidRPr="009B63C8">
        <w:rPr>
          <w:rFonts w:ascii="Bookman Old Style" w:hAnsi="Bookman Old Style" w:cs="Arial"/>
          <w:b/>
          <w:bCs/>
          <w:i/>
          <w:iCs/>
          <w:sz w:val="28"/>
          <w:szCs w:val="28"/>
          <w:lang w:val="el-GR"/>
        </w:rPr>
        <w:t xml:space="preserve"> (Χρηματοδοτήσεις) Λτδ (20</w:t>
      </w:r>
      <w:r w:rsidR="0045283E" w:rsidRPr="00095549">
        <w:rPr>
          <w:rFonts w:ascii="Bookman Old Style" w:hAnsi="Bookman Old Style" w:cs="Arial"/>
          <w:b/>
          <w:bCs/>
          <w:i/>
          <w:iCs/>
          <w:sz w:val="28"/>
          <w:szCs w:val="28"/>
          <w:lang w:val="el-GR"/>
        </w:rPr>
        <w:t>05</w:t>
      </w:r>
      <w:r w:rsidR="0045283E" w:rsidRPr="009B63C8">
        <w:rPr>
          <w:rFonts w:ascii="Bookman Old Style" w:hAnsi="Bookman Old Style" w:cs="Arial"/>
          <w:b/>
          <w:bCs/>
          <w:i/>
          <w:iCs/>
          <w:sz w:val="28"/>
          <w:szCs w:val="28"/>
          <w:lang w:val="el-GR"/>
        </w:rPr>
        <w:t>) 1(</w:t>
      </w:r>
      <w:r w:rsidR="0045283E">
        <w:rPr>
          <w:rFonts w:ascii="Bookman Old Style" w:hAnsi="Bookman Old Style" w:cs="Arial"/>
          <w:b/>
          <w:bCs/>
          <w:i/>
          <w:iCs/>
          <w:sz w:val="28"/>
          <w:szCs w:val="28"/>
          <w:lang w:val="en-GB"/>
        </w:rPr>
        <w:t>A</w:t>
      </w:r>
      <w:r w:rsidR="0045283E" w:rsidRPr="009B63C8">
        <w:rPr>
          <w:rFonts w:ascii="Bookman Old Style" w:hAnsi="Bookman Old Style" w:cs="Arial"/>
          <w:b/>
          <w:bCs/>
          <w:i/>
          <w:iCs/>
          <w:sz w:val="28"/>
          <w:szCs w:val="28"/>
          <w:lang w:val="el-GR"/>
        </w:rPr>
        <w:t xml:space="preserve">) Α.Α.Δ. </w:t>
      </w:r>
      <w:r w:rsidR="0045283E" w:rsidRPr="00095549">
        <w:rPr>
          <w:rFonts w:ascii="Bookman Old Style" w:hAnsi="Bookman Old Style" w:cs="Arial"/>
          <w:b/>
          <w:bCs/>
          <w:i/>
          <w:iCs/>
          <w:sz w:val="28"/>
          <w:szCs w:val="28"/>
          <w:lang w:val="el-GR"/>
        </w:rPr>
        <w:t xml:space="preserve">108 </w:t>
      </w:r>
      <w:r w:rsidR="0045283E">
        <w:rPr>
          <w:rFonts w:ascii="Bookman Old Style" w:hAnsi="Bookman Old Style" w:cs="Arial"/>
          <w:sz w:val="28"/>
          <w:szCs w:val="28"/>
          <w:lang w:val="el-GR"/>
        </w:rPr>
        <w:t xml:space="preserve">και </w:t>
      </w:r>
      <w:r w:rsidR="0045283E" w:rsidRPr="009B63C8">
        <w:rPr>
          <w:rFonts w:ascii="Bookman Old Style" w:hAnsi="Bookman Old Style" w:cs="Arial"/>
          <w:b/>
          <w:bCs/>
          <w:i/>
          <w:iCs/>
          <w:sz w:val="28"/>
          <w:szCs w:val="28"/>
          <w:lang w:val="en-GB"/>
        </w:rPr>
        <w:t>Barclays</w:t>
      </w:r>
      <w:r w:rsidR="0045283E" w:rsidRPr="00095549">
        <w:rPr>
          <w:rFonts w:ascii="Bookman Old Style" w:hAnsi="Bookman Old Style" w:cs="Arial"/>
          <w:b/>
          <w:bCs/>
          <w:i/>
          <w:iCs/>
          <w:sz w:val="28"/>
          <w:szCs w:val="28"/>
          <w:lang w:val="el-GR"/>
        </w:rPr>
        <w:t xml:space="preserve"> </w:t>
      </w:r>
      <w:r w:rsidR="0045283E" w:rsidRPr="009B63C8">
        <w:rPr>
          <w:rFonts w:ascii="Bookman Old Style" w:hAnsi="Bookman Old Style" w:cs="Arial"/>
          <w:b/>
          <w:bCs/>
          <w:i/>
          <w:iCs/>
          <w:sz w:val="28"/>
          <w:szCs w:val="28"/>
          <w:lang w:val="en-GB"/>
        </w:rPr>
        <w:t>Bank</w:t>
      </w:r>
      <w:r w:rsidR="0045283E" w:rsidRPr="00095549">
        <w:rPr>
          <w:rFonts w:ascii="Bookman Old Style" w:hAnsi="Bookman Old Style" w:cs="Arial"/>
          <w:b/>
          <w:bCs/>
          <w:i/>
          <w:iCs/>
          <w:sz w:val="28"/>
          <w:szCs w:val="28"/>
          <w:lang w:val="el-GR"/>
        </w:rPr>
        <w:t xml:space="preserve"> </w:t>
      </w:r>
      <w:r w:rsidR="0045283E" w:rsidRPr="009B63C8">
        <w:rPr>
          <w:rFonts w:ascii="Bookman Old Style" w:hAnsi="Bookman Old Style" w:cs="Arial"/>
          <w:b/>
          <w:bCs/>
          <w:i/>
          <w:iCs/>
          <w:sz w:val="28"/>
          <w:szCs w:val="28"/>
          <w:lang w:val="en-GB"/>
        </w:rPr>
        <w:t>Plc</w:t>
      </w:r>
      <w:r w:rsidR="0045283E" w:rsidRPr="00095549">
        <w:rPr>
          <w:rFonts w:ascii="Bookman Old Style" w:hAnsi="Bookman Old Style" w:cs="Arial"/>
          <w:b/>
          <w:bCs/>
          <w:i/>
          <w:iCs/>
          <w:sz w:val="28"/>
          <w:szCs w:val="28"/>
          <w:lang w:val="el-GR"/>
        </w:rPr>
        <w:t xml:space="preserve"> </w:t>
      </w:r>
      <w:r w:rsidR="0045283E" w:rsidRPr="009B63C8">
        <w:rPr>
          <w:rFonts w:ascii="Bookman Old Style" w:hAnsi="Bookman Old Style" w:cs="Arial"/>
          <w:b/>
          <w:bCs/>
          <w:i/>
          <w:iCs/>
          <w:sz w:val="28"/>
          <w:szCs w:val="28"/>
          <w:lang w:val="en-GB"/>
        </w:rPr>
        <w:t>v</w:t>
      </w:r>
      <w:r w:rsidR="0045283E" w:rsidRPr="00095549">
        <w:rPr>
          <w:rFonts w:ascii="Bookman Old Style" w:hAnsi="Bookman Old Style" w:cs="Arial"/>
          <w:b/>
          <w:bCs/>
          <w:i/>
          <w:iCs/>
          <w:sz w:val="28"/>
          <w:szCs w:val="28"/>
          <w:lang w:val="el-GR"/>
        </w:rPr>
        <w:t xml:space="preserve">. </w:t>
      </w:r>
      <w:r w:rsidR="0045283E" w:rsidRPr="009B63C8">
        <w:rPr>
          <w:rFonts w:ascii="Bookman Old Style" w:hAnsi="Bookman Old Style" w:cs="Arial"/>
          <w:b/>
          <w:bCs/>
          <w:i/>
          <w:iCs/>
          <w:sz w:val="28"/>
          <w:szCs w:val="28"/>
          <w:lang w:val="en-GB"/>
        </w:rPr>
        <w:t>J</w:t>
      </w:r>
      <w:r w:rsidR="0045283E" w:rsidRPr="00095549">
        <w:rPr>
          <w:rFonts w:ascii="Bookman Old Style" w:hAnsi="Bookman Old Style" w:cs="Arial"/>
          <w:b/>
          <w:bCs/>
          <w:i/>
          <w:iCs/>
          <w:sz w:val="28"/>
          <w:szCs w:val="28"/>
          <w:lang w:val="el-GR"/>
        </w:rPr>
        <w:t>.</w:t>
      </w:r>
      <w:r w:rsidR="0045283E" w:rsidRPr="009B63C8">
        <w:rPr>
          <w:rFonts w:ascii="Bookman Old Style" w:hAnsi="Bookman Old Style" w:cs="Arial"/>
          <w:b/>
          <w:bCs/>
          <w:i/>
          <w:iCs/>
          <w:sz w:val="28"/>
          <w:szCs w:val="28"/>
          <w:lang w:val="en-GB"/>
        </w:rPr>
        <w:t>G</w:t>
      </w:r>
      <w:r w:rsidR="0045283E" w:rsidRPr="00095549">
        <w:rPr>
          <w:rFonts w:ascii="Bookman Old Style" w:hAnsi="Bookman Old Style" w:cs="Arial"/>
          <w:b/>
          <w:bCs/>
          <w:i/>
          <w:iCs/>
          <w:sz w:val="28"/>
          <w:szCs w:val="28"/>
          <w:lang w:val="el-GR"/>
        </w:rPr>
        <w:t>.</w:t>
      </w:r>
      <w:r w:rsidR="0045283E" w:rsidRPr="009B63C8">
        <w:rPr>
          <w:rFonts w:ascii="Bookman Old Style" w:hAnsi="Bookman Old Style" w:cs="Arial"/>
          <w:b/>
          <w:bCs/>
          <w:i/>
          <w:iCs/>
          <w:sz w:val="28"/>
          <w:szCs w:val="28"/>
          <w:lang w:val="en-GB"/>
        </w:rPr>
        <w:t>L</w:t>
      </w:r>
      <w:r w:rsidR="0045283E" w:rsidRPr="00095549">
        <w:rPr>
          <w:rFonts w:ascii="Bookman Old Style" w:hAnsi="Bookman Old Style" w:cs="Arial"/>
          <w:b/>
          <w:bCs/>
          <w:i/>
          <w:iCs/>
          <w:sz w:val="28"/>
          <w:szCs w:val="28"/>
          <w:lang w:val="el-GR"/>
        </w:rPr>
        <w:t>. (</w:t>
      </w:r>
      <w:r w:rsidR="0045283E" w:rsidRPr="009B63C8">
        <w:rPr>
          <w:rFonts w:ascii="Bookman Old Style" w:hAnsi="Bookman Old Style" w:cs="Arial"/>
          <w:b/>
          <w:bCs/>
          <w:i/>
          <w:iCs/>
          <w:sz w:val="28"/>
          <w:szCs w:val="28"/>
          <w:lang w:val="en-GB"/>
        </w:rPr>
        <w:t>Const</w:t>
      </w:r>
      <w:r w:rsidR="0031577C">
        <w:rPr>
          <w:rFonts w:ascii="Bookman Old Style" w:hAnsi="Bookman Old Style" w:cs="Arial"/>
          <w:b/>
          <w:bCs/>
          <w:i/>
          <w:iCs/>
          <w:sz w:val="28"/>
          <w:szCs w:val="28"/>
          <w:lang w:val="en-GB"/>
        </w:rPr>
        <w:t>r</w:t>
      </w:r>
      <w:r w:rsidR="0045283E" w:rsidRPr="009B63C8">
        <w:rPr>
          <w:rFonts w:ascii="Bookman Old Style" w:hAnsi="Bookman Old Style" w:cs="Arial"/>
          <w:b/>
          <w:bCs/>
          <w:i/>
          <w:iCs/>
          <w:sz w:val="28"/>
          <w:szCs w:val="28"/>
          <w:lang w:val="en-GB"/>
        </w:rPr>
        <w:t>uctions</w:t>
      </w:r>
      <w:r w:rsidR="0045283E" w:rsidRPr="00095549">
        <w:rPr>
          <w:rFonts w:ascii="Bookman Old Style" w:hAnsi="Bookman Old Style" w:cs="Arial"/>
          <w:b/>
          <w:bCs/>
          <w:i/>
          <w:iCs/>
          <w:sz w:val="28"/>
          <w:szCs w:val="28"/>
          <w:lang w:val="el-GR"/>
        </w:rPr>
        <w:t xml:space="preserve">) </w:t>
      </w:r>
      <w:r w:rsidR="0045283E" w:rsidRPr="009B63C8">
        <w:rPr>
          <w:rFonts w:ascii="Bookman Old Style" w:hAnsi="Bookman Old Style" w:cs="Arial"/>
          <w:b/>
          <w:bCs/>
          <w:i/>
          <w:iCs/>
          <w:sz w:val="28"/>
          <w:szCs w:val="28"/>
          <w:lang w:val="en-GB"/>
        </w:rPr>
        <w:t>Ltd</w:t>
      </w:r>
      <w:r w:rsidR="0045283E" w:rsidRPr="00095549">
        <w:rPr>
          <w:rFonts w:ascii="Bookman Old Style" w:hAnsi="Bookman Old Style" w:cs="Arial"/>
          <w:b/>
          <w:bCs/>
          <w:i/>
          <w:iCs/>
          <w:sz w:val="28"/>
          <w:szCs w:val="28"/>
          <w:lang w:val="el-GR"/>
        </w:rPr>
        <w:t xml:space="preserve"> </w:t>
      </w:r>
      <w:r w:rsidR="0045283E" w:rsidRPr="009B63C8">
        <w:rPr>
          <w:rFonts w:ascii="Bookman Old Style" w:hAnsi="Bookman Old Style" w:cs="Arial"/>
          <w:b/>
          <w:bCs/>
          <w:i/>
          <w:iCs/>
          <w:sz w:val="28"/>
          <w:szCs w:val="28"/>
          <w:lang w:val="el-GR"/>
        </w:rPr>
        <w:t>κ.ά. (2000) 1(Γ) Α.Α.Δ. 1726</w:t>
      </w:r>
      <w:r w:rsidR="0045283E" w:rsidRPr="00095549">
        <w:rPr>
          <w:rFonts w:ascii="Bookman Old Style" w:hAnsi="Bookman Old Style" w:cs="Arial"/>
          <w:sz w:val="28"/>
          <w:szCs w:val="28"/>
          <w:lang w:val="el-GR"/>
        </w:rPr>
        <w:t>.</w:t>
      </w:r>
      <w:r w:rsidR="0045283E">
        <w:rPr>
          <w:rFonts w:ascii="Bookman Old Style" w:hAnsi="Bookman Old Style" w:cs="Arial"/>
          <w:sz w:val="28"/>
          <w:szCs w:val="28"/>
          <w:lang w:val="el-GR"/>
        </w:rPr>
        <w:t xml:space="preserve"> </w:t>
      </w:r>
      <w:r w:rsidR="008829AF">
        <w:rPr>
          <w:rFonts w:ascii="Bookman Old Style" w:hAnsi="Bookman Old Style" w:cs="Arial"/>
          <w:sz w:val="28"/>
          <w:szCs w:val="28"/>
          <w:lang w:val="el-GR"/>
        </w:rPr>
        <w:t xml:space="preserve">Σχετική είναι και η υπόθεση </w:t>
      </w:r>
      <w:r w:rsidR="009B63C8" w:rsidRPr="009B63C8">
        <w:rPr>
          <w:rFonts w:ascii="Bookman Old Style" w:hAnsi="Bookman Old Style" w:cs="Arial"/>
          <w:b/>
          <w:bCs/>
          <w:i/>
          <w:iCs/>
          <w:sz w:val="28"/>
          <w:szCs w:val="28"/>
          <w:lang w:val="el-GR"/>
        </w:rPr>
        <w:t xml:space="preserve">Ιωάννου κ.ά. </w:t>
      </w:r>
      <w:r w:rsidR="009B63C8" w:rsidRPr="009B63C8">
        <w:rPr>
          <w:rFonts w:ascii="Bookman Old Style" w:hAnsi="Bookman Old Style" w:cs="Arial"/>
          <w:b/>
          <w:bCs/>
          <w:i/>
          <w:iCs/>
          <w:sz w:val="28"/>
          <w:szCs w:val="28"/>
          <w:lang w:val="en-GB"/>
        </w:rPr>
        <w:t>v</w:t>
      </w:r>
      <w:r w:rsidR="009B63C8" w:rsidRPr="00095549">
        <w:rPr>
          <w:rFonts w:ascii="Bookman Old Style" w:hAnsi="Bookman Old Style" w:cs="Arial"/>
          <w:b/>
          <w:bCs/>
          <w:i/>
          <w:iCs/>
          <w:sz w:val="28"/>
          <w:szCs w:val="28"/>
          <w:lang w:val="el-GR"/>
        </w:rPr>
        <w:t xml:space="preserve">. </w:t>
      </w:r>
      <w:r w:rsidR="009B63C8" w:rsidRPr="009B63C8">
        <w:rPr>
          <w:rFonts w:ascii="Bookman Old Style" w:hAnsi="Bookman Old Style" w:cs="Arial"/>
          <w:b/>
          <w:bCs/>
          <w:i/>
          <w:iCs/>
          <w:sz w:val="28"/>
          <w:szCs w:val="28"/>
          <w:lang w:val="el-GR"/>
        </w:rPr>
        <w:t xml:space="preserve">Λαϊκή </w:t>
      </w:r>
      <w:r w:rsidR="009B63C8" w:rsidRPr="009B63C8">
        <w:rPr>
          <w:rFonts w:ascii="Bookman Old Style" w:hAnsi="Bookman Old Style" w:cs="Arial"/>
          <w:b/>
          <w:bCs/>
          <w:i/>
          <w:iCs/>
          <w:sz w:val="28"/>
          <w:szCs w:val="28"/>
          <w:lang w:val="el-GR"/>
        </w:rPr>
        <w:lastRenderedPageBreak/>
        <w:t>Κυπριακή Τράπεζα (Χρηματοδοτήσεις) Λτδ (2011) 1(Α) Α.Α.Δ. 91</w:t>
      </w:r>
      <w:r w:rsidR="009B63C8">
        <w:rPr>
          <w:rFonts w:ascii="Bookman Old Style" w:hAnsi="Bookman Old Style" w:cs="Arial"/>
          <w:sz w:val="28"/>
          <w:szCs w:val="28"/>
          <w:lang w:val="el-GR"/>
        </w:rPr>
        <w:t xml:space="preserve"> </w:t>
      </w:r>
      <w:r w:rsidR="008829AF">
        <w:rPr>
          <w:rFonts w:ascii="Bookman Old Style" w:hAnsi="Bookman Old Style" w:cs="Arial"/>
          <w:sz w:val="28"/>
          <w:szCs w:val="28"/>
          <w:lang w:val="el-GR"/>
        </w:rPr>
        <w:t>στην οποία παρέπεμψε η Εφεσίβλητη</w:t>
      </w:r>
      <w:r w:rsidR="009B63C8">
        <w:rPr>
          <w:rFonts w:ascii="Bookman Old Style" w:hAnsi="Bookman Old Style" w:cs="Arial"/>
          <w:sz w:val="28"/>
          <w:szCs w:val="28"/>
          <w:lang w:val="el-GR"/>
        </w:rPr>
        <w:t xml:space="preserve">. </w:t>
      </w:r>
    </w:p>
    <w:p w14:paraId="28C66E0D" w14:textId="37169657" w:rsidR="00825050" w:rsidRDefault="00825050"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Επομένως και ο τέταρτος λόγος έφεσης απορρίπτεται. </w:t>
      </w:r>
    </w:p>
    <w:p w14:paraId="47191E57" w14:textId="0C255754" w:rsidR="00FD5924" w:rsidRDefault="00F3553E"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Με τον πέμπτο λόγο έφεσης προσβάλλεται ότι εσφαλμένα το πρωτόδικο Δικαστήριο κατέληξε πως η συμφωνία </w:t>
      </w:r>
      <w:proofErr w:type="spellStart"/>
      <w:r>
        <w:rPr>
          <w:rFonts w:ascii="Bookman Old Style" w:hAnsi="Bookman Old Style" w:cs="Arial"/>
          <w:sz w:val="28"/>
          <w:szCs w:val="28"/>
          <w:lang w:val="el-GR"/>
        </w:rPr>
        <w:t>ενοικιαγοράς</w:t>
      </w:r>
      <w:proofErr w:type="spellEnd"/>
      <w:r>
        <w:rPr>
          <w:rFonts w:ascii="Bookman Old Style" w:hAnsi="Bookman Old Style" w:cs="Arial"/>
          <w:sz w:val="28"/>
          <w:szCs w:val="28"/>
          <w:lang w:val="el-GR"/>
        </w:rPr>
        <w:t xml:space="preserve"> δεν ήταν άκυρη λόγω παρανομίας στη βάση του ότι το επίδικο όχημα ουδέποτε ενεγράφη σύμφωνα με τους νόμους και κανονισμούς. </w:t>
      </w:r>
    </w:p>
    <w:p w14:paraId="3A9075BE" w14:textId="4B717E9D" w:rsidR="00F3553E" w:rsidRDefault="00A734CA"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Το πρωτόδικο Δικαστήριο ορθά παρατήρησε πως ουσιώδες στοιχείο μιας συμφωνίας </w:t>
      </w:r>
      <w:proofErr w:type="spellStart"/>
      <w:r>
        <w:rPr>
          <w:rFonts w:ascii="Bookman Old Style" w:hAnsi="Bookman Old Style" w:cs="Arial"/>
          <w:sz w:val="28"/>
          <w:szCs w:val="28"/>
          <w:lang w:val="el-GR"/>
        </w:rPr>
        <w:t>ενοικιαγοράς</w:t>
      </w:r>
      <w:proofErr w:type="spellEnd"/>
      <w:r>
        <w:rPr>
          <w:rFonts w:ascii="Bookman Old Style" w:hAnsi="Bookman Old Style" w:cs="Arial"/>
          <w:sz w:val="28"/>
          <w:szCs w:val="28"/>
          <w:lang w:val="el-GR"/>
        </w:rPr>
        <w:t xml:space="preserve"> είναι το να περιέλθει το αντικείμενο αυτής στην κυριότητα του χρηματοδότη</w:t>
      </w:r>
      <w:r w:rsidR="006A12D9">
        <w:rPr>
          <w:rFonts w:ascii="Bookman Old Style" w:hAnsi="Bookman Old Style" w:cs="Arial"/>
          <w:sz w:val="28"/>
          <w:szCs w:val="28"/>
          <w:lang w:val="el-GR"/>
        </w:rPr>
        <w:t xml:space="preserve">, όπως αναφέρθηκε και στην υπόθεση </w:t>
      </w:r>
      <w:r w:rsidR="006A12D9" w:rsidRPr="009B63C8">
        <w:rPr>
          <w:rFonts w:ascii="Bookman Old Style" w:hAnsi="Bookman Old Style" w:cs="Arial"/>
          <w:b/>
          <w:bCs/>
          <w:i/>
          <w:iCs/>
          <w:sz w:val="28"/>
          <w:szCs w:val="28"/>
          <w:lang w:val="en-GB"/>
        </w:rPr>
        <w:t>Barclays</w:t>
      </w:r>
      <w:r w:rsidR="006A12D9" w:rsidRPr="00095549">
        <w:rPr>
          <w:rFonts w:ascii="Bookman Old Style" w:hAnsi="Bookman Old Style" w:cs="Arial"/>
          <w:b/>
          <w:bCs/>
          <w:i/>
          <w:iCs/>
          <w:sz w:val="28"/>
          <w:szCs w:val="28"/>
          <w:lang w:val="el-GR"/>
        </w:rPr>
        <w:t xml:space="preserve"> </w:t>
      </w:r>
      <w:r w:rsidR="006A12D9" w:rsidRPr="009B63C8">
        <w:rPr>
          <w:rFonts w:ascii="Bookman Old Style" w:hAnsi="Bookman Old Style" w:cs="Arial"/>
          <w:b/>
          <w:bCs/>
          <w:i/>
          <w:iCs/>
          <w:sz w:val="28"/>
          <w:szCs w:val="28"/>
          <w:lang w:val="en-GB"/>
        </w:rPr>
        <w:t>Bank</w:t>
      </w:r>
      <w:r w:rsidR="006A12D9" w:rsidRPr="00095549">
        <w:rPr>
          <w:rFonts w:ascii="Bookman Old Style" w:hAnsi="Bookman Old Style" w:cs="Arial"/>
          <w:b/>
          <w:bCs/>
          <w:i/>
          <w:iCs/>
          <w:sz w:val="28"/>
          <w:szCs w:val="28"/>
          <w:lang w:val="el-GR"/>
        </w:rPr>
        <w:t xml:space="preserve"> </w:t>
      </w:r>
      <w:r w:rsidR="006A12D9" w:rsidRPr="009B63C8">
        <w:rPr>
          <w:rFonts w:ascii="Bookman Old Style" w:hAnsi="Bookman Old Style" w:cs="Arial"/>
          <w:b/>
          <w:bCs/>
          <w:i/>
          <w:iCs/>
          <w:sz w:val="28"/>
          <w:szCs w:val="28"/>
          <w:lang w:val="en-GB"/>
        </w:rPr>
        <w:t>Plc</w:t>
      </w:r>
      <w:r w:rsidR="006A12D9" w:rsidRPr="00095549">
        <w:rPr>
          <w:rFonts w:ascii="Bookman Old Style" w:hAnsi="Bookman Old Style" w:cs="Arial"/>
          <w:b/>
          <w:bCs/>
          <w:i/>
          <w:iCs/>
          <w:sz w:val="28"/>
          <w:szCs w:val="28"/>
          <w:lang w:val="el-GR"/>
        </w:rPr>
        <w:t xml:space="preserve"> </w:t>
      </w:r>
      <w:r w:rsidR="006A12D9" w:rsidRPr="009B63C8">
        <w:rPr>
          <w:rFonts w:ascii="Bookman Old Style" w:hAnsi="Bookman Old Style" w:cs="Arial"/>
          <w:b/>
          <w:bCs/>
          <w:i/>
          <w:iCs/>
          <w:sz w:val="28"/>
          <w:szCs w:val="28"/>
          <w:lang w:val="en-GB"/>
        </w:rPr>
        <w:t>v</w:t>
      </w:r>
      <w:r w:rsidR="006A12D9" w:rsidRPr="00095549">
        <w:rPr>
          <w:rFonts w:ascii="Bookman Old Style" w:hAnsi="Bookman Old Style" w:cs="Arial"/>
          <w:b/>
          <w:bCs/>
          <w:i/>
          <w:iCs/>
          <w:sz w:val="28"/>
          <w:szCs w:val="28"/>
          <w:lang w:val="el-GR"/>
        </w:rPr>
        <w:t xml:space="preserve">. </w:t>
      </w:r>
      <w:r w:rsidR="006A12D9" w:rsidRPr="009B63C8">
        <w:rPr>
          <w:rFonts w:ascii="Bookman Old Style" w:hAnsi="Bookman Old Style" w:cs="Arial"/>
          <w:b/>
          <w:bCs/>
          <w:i/>
          <w:iCs/>
          <w:sz w:val="28"/>
          <w:szCs w:val="28"/>
          <w:lang w:val="en-GB"/>
        </w:rPr>
        <w:t>J</w:t>
      </w:r>
      <w:r w:rsidR="006A12D9" w:rsidRPr="00095549">
        <w:rPr>
          <w:rFonts w:ascii="Bookman Old Style" w:hAnsi="Bookman Old Style" w:cs="Arial"/>
          <w:b/>
          <w:bCs/>
          <w:i/>
          <w:iCs/>
          <w:sz w:val="28"/>
          <w:szCs w:val="28"/>
          <w:lang w:val="el-GR"/>
        </w:rPr>
        <w:t>.</w:t>
      </w:r>
      <w:r w:rsidR="006A12D9" w:rsidRPr="009B63C8">
        <w:rPr>
          <w:rFonts w:ascii="Bookman Old Style" w:hAnsi="Bookman Old Style" w:cs="Arial"/>
          <w:b/>
          <w:bCs/>
          <w:i/>
          <w:iCs/>
          <w:sz w:val="28"/>
          <w:szCs w:val="28"/>
          <w:lang w:val="en-GB"/>
        </w:rPr>
        <w:t>G</w:t>
      </w:r>
      <w:r w:rsidR="006A12D9" w:rsidRPr="00095549">
        <w:rPr>
          <w:rFonts w:ascii="Bookman Old Style" w:hAnsi="Bookman Old Style" w:cs="Arial"/>
          <w:b/>
          <w:bCs/>
          <w:i/>
          <w:iCs/>
          <w:sz w:val="28"/>
          <w:szCs w:val="28"/>
          <w:lang w:val="el-GR"/>
        </w:rPr>
        <w:t>.</w:t>
      </w:r>
      <w:r w:rsidR="006A12D9" w:rsidRPr="009B63C8">
        <w:rPr>
          <w:rFonts w:ascii="Bookman Old Style" w:hAnsi="Bookman Old Style" w:cs="Arial"/>
          <w:b/>
          <w:bCs/>
          <w:i/>
          <w:iCs/>
          <w:sz w:val="28"/>
          <w:szCs w:val="28"/>
          <w:lang w:val="en-GB"/>
        </w:rPr>
        <w:t>L</w:t>
      </w:r>
      <w:r w:rsidR="006A12D9" w:rsidRPr="00095549">
        <w:rPr>
          <w:rFonts w:ascii="Bookman Old Style" w:hAnsi="Bookman Old Style" w:cs="Arial"/>
          <w:b/>
          <w:bCs/>
          <w:i/>
          <w:iCs/>
          <w:sz w:val="28"/>
          <w:szCs w:val="28"/>
          <w:lang w:val="el-GR"/>
        </w:rPr>
        <w:t>. (</w:t>
      </w:r>
      <w:r w:rsidR="006A12D9" w:rsidRPr="009B63C8">
        <w:rPr>
          <w:rFonts w:ascii="Bookman Old Style" w:hAnsi="Bookman Old Style" w:cs="Arial"/>
          <w:b/>
          <w:bCs/>
          <w:i/>
          <w:iCs/>
          <w:sz w:val="28"/>
          <w:szCs w:val="28"/>
          <w:lang w:val="en-GB"/>
        </w:rPr>
        <w:t>Const</w:t>
      </w:r>
      <w:r w:rsidR="002C2A05">
        <w:rPr>
          <w:rFonts w:ascii="Bookman Old Style" w:hAnsi="Bookman Old Style" w:cs="Arial"/>
          <w:b/>
          <w:bCs/>
          <w:i/>
          <w:iCs/>
          <w:sz w:val="28"/>
          <w:szCs w:val="28"/>
          <w:lang w:val="en-GB"/>
        </w:rPr>
        <w:t>r</w:t>
      </w:r>
      <w:r w:rsidR="006A12D9" w:rsidRPr="009B63C8">
        <w:rPr>
          <w:rFonts w:ascii="Bookman Old Style" w:hAnsi="Bookman Old Style" w:cs="Arial"/>
          <w:b/>
          <w:bCs/>
          <w:i/>
          <w:iCs/>
          <w:sz w:val="28"/>
          <w:szCs w:val="28"/>
          <w:lang w:val="en-GB"/>
        </w:rPr>
        <w:t>uctions</w:t>
      </w:r>
      <w:r w:rsidR="006A12D9" w:rsidRPr="00095549">
        <w:rPr>
          <w:rFonts w:ascii="Bookman Old Style" w:hAnsi="Bookman Old Style" w:cs="Arial"/>
          <w:b/>
          <w:bCs/>
          <w:i/>
          <w:iCs/>
          <w:sz w:val="28"/>
          <w:szCs w:val="28"/>
          <w:lang w:val="el-GR"/>
        </w:rPr>
        <w:t xml:space="preserve">) </w:t>
      </w:r>
      <w:r w:rsidR="006A12D9" w:rsidRPr="009B63C8">
        <w:rPr>
          <w:rFonts w:ascii="Bookman Old Style" w:hAnsi="Bookman Old Style" w:cs="Arial"/>
          <w:b/>
          <w:bCs/>
          <w:i/>
          <w:iCs/>
          <w:sz w:val="28"/>
          <w:szCs w:val="28"/>
          <w:lang w:val="en-GB"/>
        </w:rPr>
        <w:t>Ltd</w:t>
      </w:r>
      <w:r w:rsidR="006A12D9" w:rsidRPr="00095549">
        <w:rPr>
          <w:rFonts w:ascii="Bookman Old Style" w:hAnsi="Bookman Old Style" w:cs="Arial"/>
          <w:b/>
          <w:bCs/>
          <w:i/>
          <w:iCs/>
          <w:sz w:val="28"/>
          <w:szCs w:val="28"/>
          <w:lang w:val="el-GR"/>
        </w:rPr>
        <w:t xml:space="preserve"> </w:t>
      </w:r>
      <w:r w:rsidR="006A12D9" w:rsidRPr="009B63C8">
        <w:rPr>
          <w:rFonts w:ascii="Bookman Old Style" w:hAnsi="Bookman Old Style" w:cs="Arial"/>
          <w:b/>
          <w:bCs/>
          <w:i/>
          <w:iCs/>
          <w:sz w:val="28"/>
          <w:szCs w:val="28"/>
          <w:lang w:val="el-GR"/>
        </w:rPr>
        <w:t>κ.ά. (</w:t>
      </w:r>
      <w:r w:rsidR="006A12D9">
        <w:rPr>
          <w:rFonts w:ascii="Bookman Old Style" w:hAnsi="Bookman Old Style" w:cs="Arial"/>
          <w:b/>
          <w:bCs/>
          <w:i/>
          <w:iCs/>
          <w:sz w:val="28"/>
          <w:szCs w:val="28"/>
          <w:lang w:val="el-GR"/>
        </w:rPr>
        <w:t>ανωτέρω</w:t>
      </w:r>
      <w:r w:rsidR="006A12D9" w:rsidRPr="009B63C8">
        <w:rPr>
          <w:rFonts w:ascii="Bookman Old Style" w:hAnsi="Bookman Old Style" w:cs="Arial"/>
          <w:b/>
          <w:bCs/>
          <w:i/>
          <w:iCs/>
          <w:sz w:val="28"/>
          <w:szCs w:val="28"/>
          <w:lang w:val="el-GR"/>
        </w:rPr>
        <w:t>)</w:t>
      </w:r>
      <w:r w:rsidR="006A12D9">
        <w:rPr>
          <w:rFonts w:ascii="Bookman Old Style" w:hAnsi="Bookman Old Style" w:cs="Arial"/>
          <w:sz w:val="28"/>
          <w:szCs w:val="28"/>
          <w:lang w:val="el-GR"/>
        </w:rPr>
        <w:t xml:space="preserve">. </w:t>
      </w:r>
      <w:r w:rsidR="00DC6E51">
        <w:rPr>
          <w:rFonts w:ascii="Bookman Old Style" w:hAnsi="Bookman Old Style" w:cs="Arial"/>
          <w:sz w:val="28"/>
          <w:szCs w:val="28"/>
          <w:lang w:val="el-GR"/>
        </w:rPr>
        <w:t xml:space="preserve">Σημείωσε επίσης πως ήταν κοινώς αποδεκτό ότι το επίδικο όχημα ουδέποτε ενεγράφη στο όνομα της Εφεσίβλητης. Συμφωνούμε με τη διαπίστωση του πρωτόδικου Δικαστηρίου ότι η </w:t>
      </w:r>
      <w:r w:rsidR="003D7701">
        <w:rPr>
          <w:rFonts w:ascii="Bookman Old Style" w:hAnsi="Bookman Old Style" w:cs="Arial"/>
          <w:sz w:val="28"/>
          <w:szCs w:val="28"/>
          <w:lang w:val="el-GR"/>
        </w:rPr>
        <w:t xml:space="preserve">κυριότητα ενός οχήματος δεν ταυτίζεται με την εγγραφή του. </w:t>
      </w:r>
      <w:proofErr w:type="spellStart"/>
      <w:r w:rsidR="003D7701">
        <w:rPr>
          <w:rFonts w:ascii="Bookman Old Style" w:hAnsi="Bookman Old Style" w:cs="Arial"/>
          <w:sz w:val="28"/>
          <w:szCs w:val="28"/>
          <w:lang w:val="el-GR"/>
        </w:rPr>
        <w:t>Εξού</w:t>
      </w:r>
      <w:proofErr w:type="spellEnd"/>
      <w:r w:rsidR="003D7701">
        <w:rPr>
          <w:rFonts w:ascii="Bookman Old Style" w:hAnsi="Bookman Old Style" w:cs="Arial"/>
          <w:sz w:val="28"/>
          <w:szCs w:val="28"/>
          <w:lang w:val="el-GR"/>
        </w:rPr>
        <w:t xml:space="preserve"> και εύλογα κατέληξε ότι με βάση τα τεκμήρια 17</w:t>
      </w:r>
      <w:r w:rsidR="00750606">
        <w:rPr>
          <w:rFonts w:ascii="Bookman Old Style" w:hAnsi="Bookman Old Style" w:cs="Arial"/>
          <w:sz w:val="28"/>
          <w:szCs w:val="28"/>
          <w:lang w:val="el-GR"/>
        </w:rPr>
        <w:t>, 18</w:t>
      </w:r>
      <w:r w:rsidR="00AD7910">
        <w:rPr>
          <w:rFonts w:ascii="Bookman Old Style" w:hAnsi="Bookman Old Style" w:cs="Arial"/>
          <w:sz w:val="28"/>
          <w:szCs w:val="28"/>
          <w:lang w:val="el-GR"/>
        </w:rPr>
        <w:t xml:space="preserve"> (δήλωση στη συμφωνία </w:t>
      </w:r>
      <w:proofErr w:type="spellStart"/>
      <w:r w:rsidR="00AD7910">
        <w:rPr>
          <w:rFonts w:ascii="Bookman Old Style" w:hAnsi="Bookman Old Style" w:cs="Arial"/>
          <w:sz w:val="28"/>
          <w:szCs w:val="28"/>
          <w:lang w:val="el-GR"/>
        </w:rPr>
        <w:t>ενοικιαγοράς</w:t>
      </w:r>
      <w:proofErr w:type="spellEnd"/>
      <w:r w:rsidR="00AD7910">
        <w:rPr>
          <w:rFonts w:ascii="Bookman Old Style" w:hAnsi="Bookman Old Style" w:cs="Arial"/>
          <w:sz w:val="28"/>
          <w:szCs w:val="28"/>
          <w:lang w:val="el-GR"/>
        </w:rPr>
        <w:t xml:space="preserve"> ότι ο εναγόμενος 1 είναι ο απόλυτος ιδιοκτήτης του οχήματος)</w:t>
      </w:r>
      <w:r w:rsidR="00750606">
        <w:rPr>
          <w:rFonts w:ascii="Bookman Old Style" w:hAnsi="Bookman Old Style" w:cs="Arial"/>
          <w:sz w:val="28"/>
          <w:szCs w:val="28"/>
          <w:lang w:val="el-GR"/>
        </w:rPr>
        <w:t xml:space="preserve"> και </w:t>
      </w:r>
      <w:r w:rsidR="003D7701">
        <w:rPr>
          <w:rFonts w:ascii="Bookman Old Style" w:hAnsi="Bookman Old Style" w:cs="Arial"/>
          <w:sz w:val="28"/>
          <w:szCs w:val="28"/>
          <w:lang w:val="el-GR"/>
        </w:rPr>
        <w:t>19</w:t>
      </w:r>
      <w:r w:rsidR="00750606">
        <w:rPr>
          <w:rFonts w:ascii="Bookman Old Style" w:hAnsi="Bookman Old Style" w:cs="Arial"/>
          <w:sz w:val="28"/>
          <w:szCs w:val="28"/>
          <w:lang w:val="el-GR"/>
        </w:rPr>
        <w:t xml:space="preserve"> (τιμολόγιο αγοράς) </w:t>
      </w:r>
      <w:proofErr w:type="spellStart"/>
      <w:r w:rsidR="00750606">
        <w:rPr>
          <w:rFonts w:ascii="Bookman Old Style" w:hAnsi="Bookman Old Style" w:cs="Arial"/>
          <w:sz w:val="28"/>
          <w:szCs w:val="28"/>
          <w:lang w:val="el-GR"/>
        </w:rPr>
        <w:t>διεφάνη</w:t>
      </w:r>
      <w:proofErr w:type="spellEnd"/>
      <w:r w:rsidR="00750606">
        <w:rPr>
          <w:rFonts w:ascii="Bookman Old Style" w:hAnsi="Bookman Old Style" w:cs="Arial"/>
          <w:sz w:val="28"/>
          <w:szCs w:val="28"/>
          <w:lang w:val="el-GR"/>
        </w:rPr>
        <w:t xml:space="preserve"> ότι η κυριότητα του οχήματος </w:t>
      </w:r>
      <w:r w:rsidR="00750606">
        <w:rPr>
          <w:rFonts w:ascii="Bookman Old Style" w:hAnsi="Bookman Old Style" w:cs="Arial"/>
          <w:sz w:val="28"/>
          <w:szCs w:val="28"/>
          <w:lang w:val="el-GR"/>
        </w:rPr>
        <w:lastRenderedPageBreak/>
        <w:t xml:space="preserve">μεταβιβάστηκε στην Εφεσίβλητη, χωρίς την ανάγκη εγγραφής αυτού στο όνομα της. </w:t>
      </w:r>
    </w:p>
    <w:p w14:paraId="604B90C8" w14:textId="219EC5C4" w:rsidR="00922313" w:rsidRDefault="00922313"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Αυτή </w:t>
      </w:r>
      <w:r w:rsidR="00C12931">
        <w:rPr>
          <w:rFonts w:ascii="Bookman Old Style" w:hAnsi="Bookman Old Style" w:cs="Arial"/>
          <w:sz w:val="28"/>
          <w:szCs w:val="28"/>
          <w:lang w:val="el-GR"/>
        </w:rPr>
        <w:t xml:space="preserve">είναι και η ερμηνεία που προκύπτει από τις υποθέσεις στις οποίες ο ίδιος ο Εφεσείων μας παρέπεμψε, αναφορικά με τη φύση της σύμβασης </w:t>
      </w:r>
      <w:proofErr w:type="spellStart"/>
      <w:r w:rsidR="00C12931">
        <w:rPr>
          <w:rFonts w:ascii="Bookman Old Style" w:hAnsi="Bookman Old Style" w:cs="Arial"/>
          <w:sz w:val="28"/>
          <w:szCs w:val="28"/>
          <w:lang w:val="el-GR"/>
        </w:rPr>
        <w:t>ενοικιαγοράς</w:t>
      </w:r>
      <w:proofErr w:type="spellEnd"/>
      <w:r w:rsidR="00C12931">
        <w:rPr>
          <w:rFonts w:ascii="Bookman Old Style" w:hAnsi="Bookman Old Style" w:cs="Arial"/>
          <w:sz w:val="28"/>
          <w:szCs w:val="28"/>
          <w:lang w:val="el-GR"/>
        </w:rPr>
        <w:t xml:space="preserve"> και την έννοια της ιδιοκτησίας ή κυριότητας του αντικειμένου αυτής από τον χρηματοδότη. </w:t>
      </w:r>
      <w:r w:rsidR="00B115AD">
        <w:rPr>
          <w:rFonts w:ascii="Bookman Old Style" w:hAnsi="Bookman Old Style" w:cs="Arial"/>
          <w:sz w:val="28"/>
          <w:szCs w:val="28"/>
          <w:lang w:val="el-GR"/>
        </w:rPr>
        <w:t xml:space="preserve">Πρόκειται για τις υποθέσεις </w:t>
      </w:r>
      <w:r w:rsidR="00C12931" w:rsidRPr="00C12931">
        <w:rPr>
          <w:rFonts w:ascii="Bookman Old Style" w:hAnsi="Bookman Old Style" w:cs="Arial"/>
          <w:b/>
          <w:bCs/>
          <w:i/>
          <w:iCs/>
          <w:sz w:val="28"/>
          <w:szCs w:val="28"/>
          <w:lang w:val="el-GR"/>
        </w:rPr>
        <w:t xml:space="preserve">Σολωμού κ.ά. </w:t>
      </w:r>
      <w:r w:rsidR="00C12931" w:rsidRPr="00C12931">
        <w:rPr>
          <w:rFonts w:ascii="Bookman Old Style" w:hAnsi="Bookman Old Style" w:cs="Arial"/>
          <w:b/>
          <w:bCs/>
          <w:i/>
          <w:iCs/>
          <w:sz w:val="28"/>
          <w:szCs w:val="28"/>
          <w:lang w:val="en-GB"/>
        </w:rPr>
        <w:t>v</w:t>
      </w:r>
      <w:r w:rsidR="00C12931" w:rsidRPr="00095549">
        <w:rPr>
          <w:rFonts w:ascii="Bookman Old Style" w:hAnsi="Bookman Old Style" w:cs="Arial"/>
          <w:b/>
          <w:bCs/>
          <w:i/>
          <w:iCs/>
          <w:sz w:val="28"/>
          <w:szCs w:val="28"/>
          <w:lang w:val="el-GR"/>
        </w:rPr>
        <w:t xml:space="preserve">. </w:t>
      </w:r>
      <w:r w:rsidR="00C12931" w:rsidRPr="00C12931">
        <w:rPr>
          <w:rFonts w:ascii="Bookman Old Style" w:hAnsi="Bookman Old Style" w:cs="Arial"/>
          <w:b/>
          <w:bCs/>
          <w:i/>
          <w:iCs/>
          <w:sz w:val="28"/>
          <w:szCs w:val="28"/>
          <w:lang w:val="en-GB"/>
        </w:rPr>
        <w:t>Marfin</w:t>
      </w:r>
      <w:r w:rsidR="00C12931" w:rsidRPr="00095549">
        <w:rPr>
          <w:rFonts w:ascii="Bookman Old Style" w:hAnsi="Bookman Old Style" w:cs="Arial"/>
          <w:b/>
          <w:bCs/>
          <w:i/>
          <w:iCs/>
          <w:sz w:val="28"/>
          <w:szCs w:val="28"/>
          <w:lang w:val="el-GR"/>
        </w:rPr>
        <w:t xml:space="preserve"> </w:t>
      </w:r>
      <w:r w:rsidR="00C12931" w:rsidRPr="00C12931">
        <w:rPr>
          <w:rFonts w:ascii="Bookman Old Style" w:hAnsi="Bookman Old Style" w:cs="Arial"/>
          <w:b/>
          <w:bCs/>
          <w:i/>
          <w:iCs/>
          <w:sz w:val="28"/>
          <w:szCs w:val="28"/>
          <w:lang w:val="en-GB"/>
        </w:rPr>
        <w:t>Popular</w:t>
      </w:r>
      <w:r w:rsidR="00C12931" w:rsidRPr="00095549">
        <w:rPr>
          <w:rFonts w:ascii="Bookman Old Style" w:hAnsi="Bookman Old Style" w:cs="Arial"/>
          <w:b/>
          <w:bCs/>
          <w:i/>
          <w:iCs/>
          <w:sz w:val="28"/>
          <w:szCs w:val="28"/>
          <w:lang w:val="el-GR"/>
        </w:rPr>
        <w:t xml:space="preserve"> </w:t>
      </w:r>
      <w:r w:rsidR="00C12931" w:rsidRPr="00C12931">
        <w:rPr>
          <w:rFonts w:ascii="Bookman Old Style" w:hAnsi="Bookman Old Style" w:cs="Arial"/>
          <w:b/>
          <w:bCs/>
          <w:i/>
          <w:iCs/>
          <w:sz w:val="28"/>
          <w:szCs w:val="28"/>
          <w:lang w:val="en-GB"/>
        </w:rPr>
        <w:t>Bank</w:t>
      </w:r>
      <w:r w:rsidR="00C12931" w:rsidRPr="00095549">
        <w:rPr>
          <w:rFonts w:ascii="Bookman Old Style" w:hAnsi="Bookman Old Style" w:cs="Arial"/>
          <w:b/>
          <w:bCs/>
          <w:i/>
          <w:iCs/>
          <w:sz w:val="28"/>
          <w:szCs w:val="28"/>
          <w:lang w:val="el-GR"/>
        </w:rPr>
        <w:t xml:space="preserve"> </w:t>
      </w:r>
      <w:r w:rsidR="00C12931" w:rsidRPr="00C12931">
        <w:rPr>
          <w:rFonts w:ascii="Bookman Old Style" w:hAnsi="Bookman Old Style" w:cs="Arial"/>
          <w:b/>
          <w:bCs/>
          <w:i/>
          <w:iCs/>
          <w:sz w:val="28"/>
          <w:szCs w:val="28"/>
          <w:lang w:val="en-GB"/>
        </w:rPr>
        <w:t>Public</w:t>
      </w:r>
      <w:r w:rsidR="00C12931" w:rsidRPr="00095549">
        <w:rPr>
          <w:rFonts w:ascii="Bookman Old Style" w:hAnsi="Bookman Old Style" w:cs="Arial"/>
          <w:b/>
          <w:bCs/>
          <w:i/>
          <w:iCs/>
          <w:sz w:val="28"/>
          <w:szCs w:val="28"/>
          <w:lang w:val="el-GR"/>
        </w:rPr>
        <w:t xml:space="preserve"> </w:t>
      </w:r>
      <w:r w:rsidR="00C12931" w:rsidRPr="00C12931">
        <w:rPr>
          <w:rFonts w:ascii="Bookman Old Style" w:hAnsi="Bookman Old Style" w:cs="Arial"/>
          <w:b/>
          <w:bCs/>
          <w:i/>
          <w:iCs/>
          <w:sz w:val="28"/>
          <w:szCs w:val="28"/>
          <w:lang w:val="en-GB"/>
        </w:rPr>
        <w:t>Co</w:t>
      </w:r>
      <w:r w:rsidR="00C12931" w:rsidRPr="00095549">
        <w:rPr>
          <w:rFonts w:ascii="Bookman Old Style" w:hAnsi="Bookman Old Style" w:cs="Arial"/>
          <w:b/>
          <w:bCs/>
          <w:i/>
          <w:iCs/>
          <w:sz w:val="28"/>
          <w:szCs w:val="28"/>
          <w:lang w:val="el-GR"/>
        </w:rPr>
        <w:t xml:space="preserve"> </w:t>
      </w:r>
      <w:r w:rsidR="00C12931" w:rsidRPr="00C12931">
        <w:rPr>
          <w:rFonts w:ascii="Bookman Old Style" w:hAnsi="Bookman Old Style" w:cs="Arial"/>
          <w:b/>
          <w:bCs/>
          <w:i/>
          <w:iCs/>
          <w:sz w:val="28"/>
          <w:szCs w:val="28"/>
          <w:lang w:val="en-GB"/>
        </w:rPr>
        <w:t>Ltd</w:t>
      </w:r>
      <w:r w:rsidR="00C12931" w:rsidRPr="00095549">
        <w:rPr>
          <w:rFonts w:ascii="Bookman Old Style" w:hAnsi="Bookman Old Style" w:cs="Arial"/>
          <w:b/>
          <w:bCs/>
          <w:i/>
          <w:iCs/>
          <w:sz w:val="28"/>
          <w:szCs w:val="28"/>
          <w:lang w:val="el-GR"/>
        </w:rPr>
        <w:t xml:space="preserve"> (2011) 1(</w:t>
      </w:r>
      <w:r w:rsidR="00C12931" w:rsidRPr="00C12931">
        <w:rPr>
          <w:rFonts w:ascii="Bookman Old Style" w:hAnsi="Bookman Old Style" w:cs="Arial"/>
          <w:b/>
          <w:bCs/>
          <w:i/>
          <w:iCs/>
          <w:sz w:val="28"/>
          <w:szCs w:val="28"/>
          <w:lang w:val="el-GR"/>
        </w:rPr>
        <w:t>Α) Α.Α.Δ. 36</w:t>
      </w:r>
      <w:r w:rsidR="000B4C69">
        <w:rPr>
          <w:rFonts w:ascii="Bookman Old Style" w:hAnsi="Bookman Old Style" w:cs="Arial"/>
          <w:sz w:val="28"/>
          <w:szCs w:val="28"/>
          <w:lang w:val="el-GR"/>
        </w:rPr>
        <w:t xml:space="preserve"> και</w:t>
      </w:r>
      <w:r w:rsidR="00C12931">
        <w:rPr>
          <w:rFonts w:ascii="Bookman Old Style" w:hAnsi="Bookman Old Style" w:cs="Arial"/>
          <w:sz w:val="28"/>
          <w:szCs w:val="28"/>
          <w:lang w:val="el-GR"/>
        </w:rPr>
        <w:t xml:space="preserve"> </w:t>
      </w:r>
      <w:r w:rsidR="0048295C" w:rsidRPr="009B63C8">
        <w:rPr>
          <w:rFonts w:ascii="Bookman Old Style" w:hAnsi="Bookman Old Style" w:cs="Arial"/>
          <w:b/>
          <w:bCs/>
          <w:i/>
          <w:iCs/>
          <w:sz w:val="28"/>
          <w:szCs w:val="28"/>
          <w:lang w:val="el-GR"/>
        </w:rPr>
        <w:t>Λαϊκή</w:t>
      </w:r>
      <w:r w:rsidR="0048295C">
        <w:rPr>
          <w:rFonts w:ascii="Bookman Old Style" w:hAnsi="Bookman Old Style" w:cs="Arial"/>
          <w:b/>
          <w:bCs/>
          <w:i/>
          <w:iCs/>
          <w:sz w:val="28"/>
          <w:szCs w:val="28"/>
          <w:lang w:val="el-GR"/>
        </w:rPr>
        <w:t>ς</w:t>
      </w:r>
      <w:r w:rsidR="0048295C" w:rsidRPr="009B63C8">
        <w:rPr>
          <w:rFonts w:ascii="Bookman Old Style" w:hAnsi="Bookman Old Style" w:cs="Arial"/>
          <w:b/>
          <w:bCs/>
          <w:i/>
          <w:iCs/>
          <w:sz w:val="28"/>
          <w:szCs w:val="28"/>
          <w:lang w:val="el-GR"/>
        </w:rPr>
        <w:t xml:space="preserve"> Κυπριακή</w:t>
      </w:r>
      <w:r w:rsidR="0048295C">
        <w:rPr>
          <w:rFonts w:ascii="Bookman Old Style" w:hAnsi="Bookman Old Style" w:cs="Arial"/>
          <w:b/>
          <w:bCs/>
          <w:i/>
          <w:iCs/>
          <w:sz w:val="28"/>
          <w:szCs w:val="28"/>
          <w:lang w:val="el-GR"/>
        </w:rPr>
        <w:t>ς</w:t>
      </w:r>
      <w:r w:rsidR="0048295C" w:rsidRPr="009B63C8">
        <w:rPr>
          <w:rFonts w:ascii="Bookman Old Style" w:hAnsi="Bookman Old Style" w:cs="Arial"/>
          <w:b/>
          <w:bCs/>
          <w:i/>
          <w:iCs/>
          <w:sz w:val="28"/>
          <w:szCs w:val="28"/>
          <w:lang w:val="el-GR"/>
        </w:rPr>
        <w:t xml:space="preserve"> Τράπεζα</w:t>
      </w:r>
      <w:r w:rsidR="0048295C">
        <w:rPr>
          <w:rFonts w:ascii="Bookman Old Style" w:hAnsi="Bookman Old Style" w:cs="Arial"/>
          <w:b/>
          <w:bCs/>
          <w:i/>
          <w:iCs/>
          <w:sz w:val="28"/>
          <w:szCs w:val="28"/>
          <w:lang w:val="el-GR"/>
        </w:rPr>
        <w:t>ς</w:t>
      </w:r>
      <w:r w:rsidR="0048295C" w:rsidRPr="009B63C8">
        <w:rPr>
          <w:rFonts w:ascii="Bookman Old Style" w:hAnsi="Bookman Old Style" w:cs="Arial"/>
          <w:b/>
          <w:bCs/>
          <w:i/>
          <w:iCs/>
          <w:sz w:val="28"/>
          <w:szCs w:val="28"/>
          <w:lang w:val="el-GR"/>
        </w:rPr>
        <w:t xml:space="preserve"> (Χρηματοδοτήσεις) Λτδ</w:t>
      </w:r>
      <w:r w:rsidR="0048295C" w:rsidRPr="00B115AD">
        <w:rPr>
          <w:rFonts w:ascii="Bookman Old Style" w:hAnsi="Bookman Old Style" w:cs="Arial"/>
          <w:b/>
          <w:bCs/>
          <w:i/>
          <w:iCs/>
          <w:sz w:val="28"/>
          <w:szCs w:val="28"/>
          <w:lang w:val="el-GR"/>
        </w:rPr>
        <w:t xml:space="preserve"> </w:t>
      </w:r>
      <w:r w:rsidR="0048295C" w:rsidRPr="00B115AD">
        <w:rPr>
          <w:rFonts w:ascii="Bookman Old Style" w:hAnsi="Bookman Old Style" w:cs="Arial"/>
          <w:b/>
          <w:bCs/>
          <w:i/>
          <w:iCs/>
          <w:sz w:val="28"/>
          <w:szCs w:val="28"/>
          <w:lang w:val="en-GB"/>
        </w:rPr>
        <w:t>v</w:t>
      </w:r>
      <w:r w:rsidR="0048295C" w:rsidRPr="00095549">
        <w:rPr>
          <w:rFonts w:ascii="Bookman Old Style" w:hAnsi="Bookman Old Style" w:cs="Arial"/>
          <w:b/>
          <w:bCs/>
          <w:i/>
          <w:iCs/>
          <w:sz w:val="28"/>
          <w:szCs w:val="28"/>
          <w:lang w:val="el-GR"/>
        </w:rPr>
        <w:t>.</w:t>
      </w:r>
      <w:r w:rsidR="005A7D63" w:rsidRPr="005D335C">
        <w:rPr>
          <w:rFonts w:ascii="Bookman Old Style" w:hAnsi="Bookman Old Style" w:cs="Arial"/>
          <w:b/>
          <w:bCs/>
          <w:i/>
          <w:iCs/>
          <w:sz w:val="28"/>
          <w:szCs w:val="28"/>
          <w:lang w:val="el-GR"/>
        </w:rPr>
        <w:t xml:space="preserve"> </w:t>
      </w:r>
      <w:r w:rsidR="00B115AD" w:rsidRPr="00B115AD">
        <w:rPr>
          <w:rFonts w:ascii="Bookman Old Style" w:hAnsi="Bookman Old Style" w:cs="Arial"/>
          <w:b/>
          <w:bCs/>
          <w:i/>
          <w:iCs/>
          <w:sz w:val="28"/>
          <w:szCs w:val="28"/>
          <w:lang w:val="el-GR"/>
        </w:rPr>
        <w:t xml:space="preserve">Κωνσταντίνου κ.ά. </w:t>
      </w:r>
      <w:r w:rsidR="00B115AD" w:rsidRPr="009B63C8">
        <w:rPr>
          <w:rFonts w:ascii="Bookman Old Style" w:hAnsi="Bookman Old Style" w:cs="Arial"/>
          <w:b/>
          <w:bCs/>
          <w:i/>
          <w:iCs/>
          <w:sz w:val="28"/>
          <w:szCs w:val="28"/>
          <w:lang w:val="el-GR"/>
        </w:rPr>
        <w:t>(</w:t>
      </w:r>
      <w:r w:rsidR="0048295C">
        <w:rPr>
          <w:rFonts w:ascii="Bookman Old Style" w:hAnsi="Bookman Old Style" w:cs="Arial"/>
          <w:b/>
          <w:bCs/>
          <w:i/>
          <w:iCs/>
          <w:sz w:val="28"/>
          <w:szCs w:val="28"/>
          <w:lang w:val="el-GR"/>
        </w:rPr>
        <w:t>2001</w:t>
      </w:r>
      <w:r w:rsidR="00B115AD" w:rsidRPr="009B63C8">
        <w:rPr>
          <w:rFonts w:ascii="Bookman Old Style" w:hAnsi="Bookman Old Style" w:cs="Arial"/>
          <w:b/>
          <w:bCs/>
          <w:i/>
          <w:iCs/>
          <w:sz w:val="28"/>
          <w:szCs w:val="28"/>
          <w:lang w:val="el-GR"/>
        </w:rPr>
        <w:t>)</w:t>
      </w:r>
      <w:r w:rsidR="0048295C">
        <w:rPr>
          <w:rFonts w:ascii="Bookman Old Style" w:hAnsi="Bookman Old Style" w:cs="Arial"/>
          <w:b/>
          <w:bCs/>
          <w:i/>
          <w:iCs/>
          <w:sz w:val="28"/>
          <w:szCs w:val="28"/>
          <w:lang w:val="el-GR"/>
        </w:rPr>
        <w:t xml:space="preserve"> 1(Β) Α.Α.Δ. 1432</w:t>
      </w:r>
      <w:r w:rsidR="000B4C69">
        <w:rPr>
          <w:rFonts w:ascii="Bookman Old Style" w:hAnsi="Bookman Old Style" w:cs="Arial"/>
          <w:b/>
          <w:bCs/>
          <w:i/>
          <w:iCs/>
          <w:sz w:val="28"/>
          <w:szCs w:val="28"/>
          <w:lang w:val="el-GR"/>
        </w:rPr>
        <w:t xml:space="preserve">. </w:t>
      </w:r>
      <w:r>
        <w:rPr>
          <w:rFonts w:ascii="Bookman Old Style" w:hAnsi="Bookman Old Style" w:cs="Arial"/>
          <w:sz w:val="28"/>
          <w:szCs w:val="28"/>
          <w:lang w:val="el-GR"/>
        </w:rPr>
        <w:t xml:space="preserve">Σαφώς στην υπό κρίση περίπτωση, ουδέποτε αμφισβητήθηκε η κυριότητα του οχήματος από την Εφεσίβλητη, ανεξαρτήτως της μη εγγραφής του στο όνομα της. </w:t>
      </w:r>
    </w:p>
    <w:p w14:paraId="351D3861" w14:textId="54E4F9D9" w:rsidR="007310A6" w:rsidRDefault="00CB4376"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Ορθά το πρωτόδικο Δικαστήριο παρέπεμψε στον </w:t>
      </w:r>
      <w:r w:rsidRPr="00CB4376">
        <w:rPr>
          <w:rFonts w:ascii="Bookman Old Style" w:hAnsi="Bookman Old Style" w:cs="Arial"/>
          <w:b/>
          <w:bCs/>
          <w:i/>
          <w:iCs/>
          <w:sz w:val="28"/>
          <w:szCs w:val="28"/>
          <w:lang w:val="el-GR"/>
        </w:rPr>
        <w:t>Κανονισμό 5(1)</w:t>
      </w:r>
      <w:r>
        <w:rPr>
          <w:rFonts w:ascii="Bookman Old Style" w:hAnsi="Bookman Old Style" w:cs="Arial"/>
          <w:sz w:val="28"/>
          <w:szCs w:val="28"/>
          <w:lang w:val="el-GR"/>
        </w:rPr>
        <w:t xml:space="preserve"> των </w:t>
      </w:r>
      <w:r w:rsidR="00C52E18" w:rsidRPr="00C52E18">
        <w:rPr>
          <w:rFonts w:ascii="Bookman Old Style" w:hAnsi="Bookman Old Style" w:cs="Arial"/>
          <w:b/>
          <w:bCs/>
          <w:i/>
          <w:iCs/>
          <w:sz w:val="28"/>
          <w:szCs w:val="28"/>
          <w:lang w:val="el-GR"/>
        </w:rPr>
        <w:t xml:space="preserve">περί </w:t>
      </w:r>
      <w:r w:rsidRPr="00CB4376">
        <w:rPr>
          <w:rFonts w:ascii="Bookman Old Style" w:hAnsi="Bookman Old Style" w:cs="Arial"/>
          <w:b/>
          <w:bCs/>
          <w:i/>
          <w:iCs/>
          <w:sz w:val="28"/>
          <w:szCs w:val="28"/>
          <w:lang w:val="el-GR"/>
        </w:rPr>
        <w:t>Μηχανοκινήτων Οχημάτων και Τροχαίας Κίνησης Κανονισμών του 1984</w:t>
      </w:r>
      <w:r w:rsidRPr="00CB4376">
        <w:rPr>
          <w:rFonts w:ascii="Bookman Old Style" w:hAnsi="Bookman Old Style" w:cs="Arial"/>
          <w:sz w:val="28"/>
          <w:szCs w:val="28"/>
          <w:lang w:val="el-GR"/>
        </w:rPr>
        <w:t>,</w:t>
      </w:r>
      <w:r w:rsidRPr="00CB4376">
        <w:rPr>
          <w:rFonts w:ascii="Bookman Old Style" w:hAnsi="Bookman Old Style" w:cs="Arial"/>
          <w:b/>
          <w:bCs/>
          <w:i/>
          <w:iCs/>
          <w:sz w:val="28"/>
          <w:szCs w:val="28"/>
          <w:lang w:val="el-GR"/>
        </w:rPr>
        <w:t xml:space="preserve"> Κ.Δ.Π. 66/84</w:t>
      </w:r>
      <w:r>
        <w:rPr>
          <w:rFonts w:ascii="Bookman Old Style" w:hAnsi="Bookman Old Style" w:cs="Arial"/>
          <w:sz w:val="28"/>
          <w:szCs w:val="28"/>
          <w:lang w:val="el-GR"/>
        </w:rPr>
        <w:t xml:space="preserve">, </w:t>
      </w:r>
      <w:r w:rsidR="007310A6">
        <w:rPr>
          <w:rFonts w:ascii="Bookman Old Style" w:hAnsi="Bookman Old Style" w:cs="Arial"/>
          <w:sz w:val="28"/>
          <w:szCs w:val="28"/>
          <w:lang w:val="el-GR"/>
        </w:rPr>
        <w:t>στο</w:t>
      </w:r>
      <w:r w:rsidR="00EC3B73">
        <w:rPr>
          <w:rFonts w:ascii="Bookman Old Style" w:hAnsi="Bookman Old Style" w:cs="Arial"/>
          <w:sz w:val="28"/>
          <w:szCs w:val="28"/>
          <w:lang w:val="el-GR"/>
        </w:rPr>
        <w:t>ν</w:t>
      </w:r>
      <w:r w:rsidR="007310A6">
        <w:rPr>
          <w:rFonts w:ascii="Bookman Old Style" w:hAnsi="Bookman Old Style" w:cs="Arial"/>
          <w:sz w:val="28"/>
          <w:szCs w:val="28"/>
          <w:lang w:val="el-GR"/>
        </w:rPr>
        <w:t xml:space="preserve"> οποίο γίνεται αναφορά σε «</w:t>
      </w:r>
      <w:r w:rsidR="007310A6" w:rsidRPr="007310A6">
        <w:rPr>
          <w:rFonts w:ascii="Bookman Old Style" w:hAnsi="Bookman Old Style" w:cs="Arial"/>
          <w:i/>
          <w:iCs/>
          <w:sz w:val="28"/>
          <w:szCs w:val="28"/>
          <w:lang w:val="el-GR"/>
        </w:rPr>
        <w:t>ιδιοκτήτη μη εγγεγραμμένου οχήματος</w:t>
      </w:r>
      <w:r w:rsidR="007310A6">
        <w:rPr>
          <w:rFonts w:ascii="Bookman Old Style" w:hAnsi="Bookman Old Style" w:cs="Arial"/>
          <w:sz w:val="28"/>
          <w:szCs w:val="28"/>
          <w:lang w:val="el-GR"/>
        </w:rPr>
        <w:t xml:space="preserve">» </w:t>
      </w:r>
      <w:r w:rsidR="00BD6995">
        <w:rPr>
          <w:rFonts w:ascii="Bookman Old Style" w:hAnsi="Bookman Old Style" w:cs="Arial"/>
          <w:sz w:val="28"/>
          <w:szCs w:val="28"/>
          <w:lang w:val="el-GR"/>
        </w:rPr>
        <w:t xml:space="preserve">και </w:t>
      </w:r>
      <w:r w:rsidR="007310A6">
        <w:rPr>
          <w:rFonts w:ascii="Bookman Old Style" w:hAnsi="Bookman Old Style" w:cs="Arial"/>
          <w:sz w:val="28"/>
          <w:szCs w:val="28"/>
          <w:lang w:val="el-GR"/>
        </w:rPr>
        <w:t>σύμφωνα με το</w:t>
      </w:r>
      <w:r w:rsidR="00EC3B73">
        <w:rPr>
          <w:rFonts w:ascii="Bookman Old Style" w:hAnsi="Bookman Old Style" w:cs="Arial"/>
          <w:sz w:val="28"/>
          <w:szCs w:val="28"/>
          <w:lang w:val="el-GR"/>
        </w:rPr>
        <w:t>ν</w:t>
      </w:r>
      <w:r w:rsidR="007310A6">
        <w:rPr>
          <w:rFonts w:ascii="Bookman Old Style" w:hAnsi="Bookman Old Style" w:cs="Arial"/>
          <w:sz w:val="28"/>
          <w:szCs w:val="28"/>
          <w:lang w:val="el-GR"/>
        </w:rPr>
        <w:t xml:space="preserve"> οποίο η εγγραφή αποτελεί προϋπόθεση για τη δυνατότητα κυκλοφορίας του οχήματος και όχι για την κυριότητα και ιδιοκτησία αυτού, η οποία δύναται να επέλθει ανεξάρτητα της εγγραφής</w:t>
      </w:r>
      <w:r w:rsidR="004C3D89">
        <w:rPr>
          <w:rFonts w:ascii="Bookman Old Style" w:hAnsi="Bookman Old Style" w:cs="Arial"/>
          <w:sz w:val="28"/>
          <w:szCs w:val="28"/>
          <w:lang w:val="el-GR"/>
        </w:rPr>
        <w:t xml:space="preserve"> του</w:t>
      </w:r>
      <w:r w:rsidR="007310A6">
        <w:rPr>
          <w:rFonts w:ascii="Bookman Old Style" w:hAnsi="Bookman Old Style" w:cs="Arial"/>
          <w:sz w:val="28"/>
          <w:szCs w:val="28"/>
          <w:lang w:val="el-GR"/>
        </w:rPr>
        <w:t xml:space="preserve">. </w:t>
      </w:r>
    </w:p>
    <w:p w14:paraId="0AA0E048" w14:textId="542FF1DD" w:rsidR="00DF2211" w:rsidRDefault="009C346F" w:rsidP="00095549">
      <w:pPr>
        <w:spacing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Ορθά επίσης το πρωτόδικο Δικαστήριο διέκρινε την υπόθεση </w:t>
      </w:r>
      <w:r w:rsidRPr="009C346F">
        <w:rPr>
          <w:rFonts w:ascii="Bookman Old Style" w:hAnsi="Bookman Old Style" w:cs="Arial"/>
          <w:b/>
          <w:bCs/>
          <w:i/>
          <w:iCs/>
          <w:sz w:val="28"/>
          <w:szCs w:val="28"/>
          <w:lang w:val="en-GB"/>
        </w:rPr>
        <w:t>North</w:t>
      </w:r>
      <w:r w:rsidRPr="00095549">
        <w:rPr>
          <w:rFonts w:ascii="Bookman Old Style" w:hAnsi="Bookman Old Style" w:cs="Arial"/>
          <w:b/>
          <w:bCs/>
          <w:i/>
          <w:iCs/>
          <w:sz w:val="28"/>
          <w:szCs w:val="28"/>
          <w:lang w:val="el-GR"/>
        </w:rPr>
        <w:t xml:space="preserve"> </w:t>
      </w:r>
      <w:r w:rsidRPr="009C346F">
        <w:rPr>
          <w:rFonts w:ascii="Bookman Old Style" w:hAnsi="Bookman Old Style" w:cs="Arial"/>
          <w:b/>
          <w:bCs/>
          <w:i/>
          <w:iCs/>
          <w:sz w:val="28"/>
          <w:szCs w:val="28"/>
          <w:lang w:val="en-GB"/>
        </w:rPr>
        <w:t>Central</w:t>
      </w:r>
      <w:r w:rsidRPr="00095549">
        <w:rPr>
          <w:rFonts w:ascii="Bookman Old Style" w:hAnsi="Bookman Old Style" w:cs="Arial"/>
          <w:b/>
          <w:bCs/>
          <w:i/>
          <w:iCs/>
          <w:sz w:val="28"/>
          <w:szCs w:val="28"/>
          <w:lang w:val="el-GR"/>
        </w:rPr>
        <w:t xml:space="preserve"> </w:t>
      </w:r>
      <w:r w:rsidRPr="009C346F">
        <w:rPr>
          <w:rFonts w:ascii="Bookman Old Style" w:hAnsi="Bookman Old Style" w:cs="Arial"/>
          <w:b/>
          <w:bCs/>
          <w:i/>
          <w:iCs/>
          <w:sz w:val="28"/>
          <w:szCs w:val="28"/>
          <w:lang w:val="en-GB"/>
        </w:rPr>
        <w:t>Wagon</w:t>
      </w:r>
      <w:r w:rsidRPr="00095549">
        <w:rPr>
          <w:rFonts w:ascii="Bookman Old Style" w:hAnsi="Bookman Old Style" w:cs="Arial"/>
          <w:b/>
          <w:bCs/>
          <w:i/>
          <w:iCs/>
          <w:sz w:val="28"/>
          <w:szCs w:val="28"/>
          <w:lang w:val="el-GR"/>
        </w:rPr>
        <w:t xml:space="preserve"> </w:t>
      </w:r>
      <w:r w:rsidRPr="009C346F">
        <w:rPr>
          <w:rFonts w:ascii="Bookman Old Style" w:hAnsi="Bookman Old Style" w:cs="Arial"/>
          <w:b/>
          <w:bCs/>
          <w:i/>
          <w:iCs/>
          <w:sz w:val="28"/>
          <w:szCs w:val="28"/>
          <w:lang w:val="en-GB"/>
        </w:rPr>
        <w:t>Finance</w:t>
      </w:r>
      <w:r w:rsidRPr="00095549">
        <w:rPr>
          <w:rFonts w:ascii="Bookman Old Style" w:hAnsi="Bookman Old Style" w:cs="Arial"/>
          <w:b/>
          <w:bCs/>
          <w:i/>
          <w:iCs/>
          <w:sz w:val="28"/>
          <w:szCs w:val="28"/>
          <w:lang w:val="el-GR"/>
        </w:rPr>
        <w:t xml:space="preserve"> </w:t>
      </w:r>
      <w:r w:rsidRPr="009C346F">
        <w:rPr>
          <w:rFonts w:ascii="Bookman Old Style" w:hAnsi="Bookman Old Style" w:cs="Arial"/>
          <w:b/>
          <w:bCs/>
          <w:i/>
          <w:iCs/>
          <w:sz w:val="28"/>
          <w:szCs w:val="28"/>
          <w:lang w:val="en-GB"/>
        </w:rPr>
        <w:t>Co</w:t>
      </w:r>
      <w:r w:rsidRPr="00095549">
        <w:rPr>
          <w:rFonts w:ascii="Bookman Old Style" w:hAnsi="Bookman Old Style" w:cs="Arial"/>
          <w:b/>
          <w:bCs/>
          <w:i/>
          <w:iCs/>
          <w:sz w:val="28"/>
          <w:szCs w:val="28"/>
          <w:lang w:val="el-GR"/>
        </w:rPr>
        <w:t xml:space="preserve"> </w:t>
      </w:r>
      <w:r w:rsidRPr="009C346F">
        <w:rPr>
          <w:rFonts w:ascii="Bookman Old Style" w:hAnsi="Bookman Old Style" w:cs="Arial"/>
          <w:b/>
          <w:bCs/>
          <w:i/>
          <w:iCs/>
          <w:sz w:val="28"/>
          <w:szCs w:val="28"/>
          <w:lang w:val="en-GB"/>
        </w:rPr>
        <w:t>v</w:t>
      </w:r>
      <w:r w:rsidRPr="00095549">
        <w:rPr>
          <w:rFonts w:ascii="Bookman Old Style" w:hAnsi="Bookman Old Style" w:cs="Arial"/>
          <w:b/>
          <w:bCs/>
          <w:i/>
          <w:iCs/>
          <w:sz w:val="28"/>
          <w:szCs w:val="28"/>
          <w:lang w:val="el-GR"/>
        </w:rPr>
        <w:t xml:space="preserve">. </w:t>
      </w:r>
      <w:r w:rsidRPr="009C346F">
        <w:rPr>
          <w:rFonts w:ascii="Bookman Old Style" w:hAnsi="Bookman Old Style" w:cs="Arial"/>
          <w:b/>
          <w:bCs/>
          <w:i/>
          <w:iCs/>
          <w:sz w:val="28"/>
          <w:szCs w:val="28"/>
          <w:lang w:val="en-GB"/>
        </w:rPr>
        <w:t>Brailsford</w:t>
      </w:r>
      <w:r w:rsidRPr="00095549">
        <w:rPr>
          <w:rFonts w:ascii="Bookman Old Style" w:hAnsi="Bookman Old Style" w:cs="Arial"/>
          <w:b/>
          <w:bCs/>
          <w:i/>
          <w:iCs/>
          <w:sz w:val="28"/>
          <w:szCs w:val="28"/>
          <w:lang w:val="el-GR"/>
        </w:rPr>
        <w:t xml:space="preserve"> [1962] 1 </w:t>
      </w:r>
      <w:r w:rsidRPr="009C346F">
        <w:rPr>
          <w:rFonts w:ascii="Bookman Old Style" w:hAnsi="Bookman Old Style" w:cs="Arial"/>
          <w:b/>
          <w:bCs/>
          <w:i/>
          <w:iCs/>
          <w:sz w:val="28"/>
          <w:szCs w:val="28"/>
          <w:lang w:val="en-GB"/>
        </w:rPr>
        <w:t>W</w:t>
      </w:r>
      <w:r w:rsidRPr="00095549">
        <w:rPr>
          <w:rFonts w:ascii="Bookman Old Style" w:hAnsi="Bookman Old Style" w:cs="Arial"/>
          <w:b/>
          <w:bCs/>
          <w:i/>
          <w:iCs/>
          <w:sz w:val="28"/>
          <w:szCs w:val="28"/>
          <w:lang w:val="el-GR"/>
        </w:rPr>
        <w:t>.</w:t>
      </w:r>
      <w:r w:rsidRPr="009C346F">
        <w:rPr>
          <w:rFonts w:ascii="Bookman Old Style" w:hAnsi="Bookman Old Style" w:cs="Arial"/>
          <w:b/>
          <w:bCs/>
          <w:i/>
          <w:iCs/>
          <w:sz w:val="28"/>
          <w:szCs w:val="28"/>
          <w:lang w:val="en-GB"/>
        </w:rPr>
        <w:t>L</w:t>
      </w:r>
      <w:r w:rsidRPr="00095549">
        <w:rPr>
          <w:rFonts w:ascii="Bookman Old Style" w:hAnsi="Bookman Old Style" w:cs="Arial"/>
          <w:b/>
          <w:bCs/>
          <w:i/>
          <w:iCs/>
          <w:sz w:val="28"/>
          <w:szCs w:val="28"/>
          <w:lang w:val="el-GR"/>
        </w:rPr>
        <w:t>.</w:t>
      </w:r>
      <w:r w:rsidRPr="009C346F">
        <w:rPr>
          <w:rFonts w:ascii="Bookman Old Style" w:hAnsi="Bookman Old Style" w:cs="Arial"/>
          <w:b/>
          <w:bCs/>
          <w:i/>
          <w:iCs/>
          <w:sz w:val="28"/>
          <w:szCs w:val="28"/>
          <w:lang w:val="en-GB"/>
        </w:rPr>
        <w:t>R</w:t>
      </w:r>
      <w:r w:rsidRPr="00095549">
        <w:rPr>
          <w:rFonts w:ascii="Bookman Old Style" w:hAnsi="Bookman Old Style" w:cs="Arial"/>
          <w:b/>
          <w:bCs/>
          <w:i/>
          <w:iCs/>
          <w:sz w:val="28"/>
          <w:szCs w:val="28"/>
          <w:lang w:val="el-GR"/>
        </w:rPr>
        <w:t>. 1288</w:t>
      </w:r>
      <w:r w:rsidRPr="00095549">
        <w:rPr>
          <w:rFonts w:ascii="Bookman Old Style" w:hAnsi="Bookman Old Style" w:cs="Arial"/>
          <w:sz w:val="28"/>
          <w:szCs w:val="28"/>
          <w:lang w:val="el-GR"/>
        </w:rPr>
        <w:t xml:space="preserve">, </w:t>
      </w:r>
      <w:r w:rsidR="000A26CC">
        <w:rPr>
          <w:rFonts w:ascii="Bookman Old Style" w:hAnsi="Bookman Old Style" w:cs="Arial"/>
          <w:sz w:val="28"/>
          <w:szCs w:val="28"/>
          <w:lang w:val="el-GR"/>
        </w:rPr>
        <w:t xml:space="preserve">στη βάση του ότι εκεί </w:t>
      </w:r>
      <w:r w:rsidR="00243A92">
        <w:rPr>
          <w:rFonts w:ascii="Bookman Old Style" w:hAnsi="Bookman Old Style" w:cs="Arial"/>
          <w:sz w:val="28"/>
          <w:szCs w:val="28"/>
          <w:lang w:val="el-GR"/>
        </w:rPr>
        <w:t xml:space="preserve">η συμφωνία </w:t>
      </w:r>
      <w:proofErr w:type="spellStart"/>
      <w:r w:rsidR="00243A92">
        <w:rPr>
          <w:rFonts w:ascii="Bookman Old Style" w:hAnsi="Bookman Old Style" w:cs="Arial"/>
          <w:sz w:val="28"/>
          <w:szCs w:val="28"/>
          <w:lang w:val="el-GR"/>
        </w:rPr>
        <w:t>ενοικιαγοράς</w:t>
      </w:r>
      <w:proofErr w:type="spellEnd"/>
      <w:r w:rsidR="00243A92">
        <w:rPr>
          <w:rFonts w:ascii="Bookman Old Style" w:hAnsi="Bookman Old Style" w:cs="Arial"/>
          <w:sz w:val="28"/>
          <w:szCs w:val="28"/>
          <w:lang w:val="el-GR"/>
        </w:rPr>
        <w:t xml:space="preserve"> αφορούσε όχημα το οποίο ήταν μεν υπαρκτό αλλά μη εγγεγραμμένο και ο χρηματοδότης ισχυρίστηκε ότι είχε αποκτήσει κυριότητα </w:t>
      </w:r>
      <w:r w:rsidR="005A7D63">
        <w:rPr>
          <w:rFonts w:ascii="Bookman Old Style" w:hAnsi="Bookman Old Style" w:cs="Arial"/>
          <w:sz w:val="28"/>
          <w:szCs w:val="28"/>
          <w:lang w:val="el-GR"/>
        </w:rPr>
        <w:t xml:space="preserve">δυνάμει </w:t>
      </w:r>
      <w:r w:rsidR="00243A92">
        <w:rPr>
          <w:rFonts w:ascii="Bookman Old Style" w:hAnsi="Bookman Old Style" w:cs="Arial"/>
          <w:sz w:val="28"/>
          <w:szCs w:val="28"/>
          <w:lang w:val="el-GR"/>
        </w:rPr>
        <w:t xml:space="preserve">ενός </w:t>
      </w:r>
      <w:r w:rsidR="000D7BBA">
        <w:rPr>
          <w:rFonts w:ascii="Bookman Old Style" w:hAnsi="Bookman Old Style" w:cs="Arial"/>
          <w:sz w:val="28"/>
          <w:szCs w:val="28"/>
          <w:lang w:val="el-GR"/>
        </w:rPr>
        <w:t>πωλητηρίου (</w:t>
      </w:r>
      <w:r w:rsidR="000D7BBA">
        <w:rPr>
          <w:rFonts w:ascii="Bookman Old Style" w:hAnsi="Bookman Old Style" w:cs="Arial"/>
          <w:sz w:val="28"/>
          <w:szCs w:val="28"/>
          <w:lang w:val="en-GB"/>
        </w:rPr>
        <w:t>bill</w:t>
      </w:r>
      <w:r w:rsidR="000D7BBA" w:rsidRPr="00095549">
        <w:rPr>
          <w:rFonts w:ascii="Bookman Old Style" w:hAnsi="Bookman Old Style" w:cs="Arial"/>
          <w:sz w:val="28"/>
          <w:szCs w:val="28"/>
          <w:lang w:val="el-GR"/>
        </w:rPr>
        <w:t xml:space="preserve"> </w:t>
      </w:r>
      <w:r w:rsidR="000D7BBA">
        <w:rPr>
          <w:rFonts w:ascii="Bookman Old Style" w:hAnsi="Bookman Old Style" w:cs="Arial"/>
          <w:sz w:val="28"/>
          <w:szCs w:val="28"/>
          <w:lang w:val="en-GB"/>
        </w:rPr>
        <w:t>of</w:t>
      </w:r>
      <w:r w:rsidR="000D7BBA" w:rsidRPr="00095549">
        <w:rPr>
          <w:rFonts w:ascii="Bookman Old Style" w:hAnsi="Bookman Old Style" w:cs="Arial"/>
          <w:sz w:val="28"/>
          <w:szCs w:val="28"/>
          <w:lang w:val="el-GR"/>
        </w:rPr>
        <w:t xml:space="preserve"> </w:t>
      </w:r>
      <w:r w:rsidR="000D7BBA">
        <w:rPr>
          <w:rFonts w:ascii="Bookman Old Style" w:hAnsi="Bookman Old Style" w:cs="Arial"/>
          <w:sz w:val="28"/>
          <w:szCs w:val="28"/>
          <w:lang w:val="en-GB"/>
        </w:rPr>
        <w:t>sale</w:t>
      </w:r>
      <w:r w:rsidR="000D7BBA" w:rsidRPr="00095549">
        <w:rPr>
          <w:rFonts w:ascii="Bookman Old Style" w:hAnsi="Bookman Old Style" w:cs="Arial"/>
          <w:sz w:val="28"/>
          <w:szCs w:val="28"/>
          <w:lang w:val="el-GR"/>
        </w:rPr>
        <w:t>)</w:t>
      </w:r>
      <w:r w:rsidR="000D7BBA">
        <w:rPr>
          <w:rFonts w:ascii="Bookman Old Style" w:hAnsi="Bookman Old Style" w:cs="Arial"/>
          <w:sz w:val="28"/>
          <w:szCs w:val="28"/>
          <w:lang w:val="el-GR"/>
        </w:rPr>
        <w:t xml:space="preserve">. Εκεί η </w:t>
      </w:r>
      <w:proofErr w:type="spellStart"/>
      <w:r w:rsidR="000D7BBA">
        <w:rPr>
          <w:rFonts w:ascii="Bookman Old Style" w:hAnsi="Bookman Old Style" w:cs="Arial"/>
          <w:sz w:val="28"/>
          <w:szCs w:val="28"/>
          <w:lang w:val="el-GR"/>
        </w:rPr>
        <w:t>ενοικ</w:t>
      </w:r>
      <w:r w:rsidR="00510C20">
        <w:rPr>
          <w:rFonts w:ascii="Bookman Old Style" w:hAnsi="Bookman Old Style" w:cs="Arial"/>
          <w:sz w:val="28"/>
          <w:szCs w:val="28"/>
          <w:lang w:val="el-GR"/>
        </w:rPr>
        <w:t>ι</w:t>
      </w:r>
      <w:r w:rsidR="000D7BBA">
        <w:rPr>
          <w:rFonts w:ascii="Bookman Old Style" w:hAnsi="Bookman Old Style" w:cs="Arial"/>
          <w:sz w:val="28"/>
          <w:szCs w:val="28"/>
          <w:lang w:val="el-GR"/>
        </w:rPr>
        <w:t>αγορά</w:t>
      </w:r>
      <w:proofErr w:type="spellEnd"/>
      <w:r w:rsidR="000D7BBA">
        <w:rPr>
          <w:rFonts w:ascii="Bookman Old Style" w:hAnsi="Bookman Old Style" w:cs="Arial"/>
          <w:sz w:val="28"/>
          <w:szCs w:val="28"/>
          <w:lang w:val="el-GR"/>
        </w:rPr>
        <w:t xml:space="preserve"> κρίθηκε άκυρη καθότι το πωλητήριο δεν είχε εγγραφεί δεόντως δυνάμει των προνοιών του </w:t>
      </w:r>
      <w:r w:rsidR="000D7BBA" w:rsidRPr="004C3D89">
        <w:rPr>
          <w:rFonts w:ascii="Bookman Old Style" w:hAnsi="Bookman Old Style" w:cs="Arial"/>
          <w:i/>
          <w:iCs/>
          <w:sz w:val="28"/>
          <w:szCs w:val="28"/>
          <w:lang w:val="en-GB"/>
        </w:rPr>
        <w:t>Bill</w:t>
      </w:r>
      <w:r w:rsidR="000D7BBA" w:rsidRPr="004C3D89">
        <w:rPr>
          <w:rFonts w:ascii="Bookman Old Style" w:hAnsi="Bookman Old Style" w:cs="Arial"/>
          <w:i/>
          <w:iCs/>
          <w:sz w:val="28"/>
          <w:szCs w:val="28"/>
          <w:lang w:val="el-GR"/>
        </w:rPr>
        <w:t xml:space="preserve"> </w:t>
      </w:r>
      <w:r w:rsidR="000D7BBA" w:rsidRPr="004C3D89">
        <w:rPr>
          <w:rFonts w:ascii="Bookman Old Style" w:hAnsi="Bookman Old Style" w:cs="Arial"/>
          <w:i/>
          <w:iCs/>
          <w:sz w:val="28"/>
          <w:szCs w:val="28"/>
          <w:lang w:val="en-GB"/>
        </w:rPr>
        <w:t>of</w:t>
      </w:r>
      <w:r w:rsidR="000D7BBA" w:rsidRPr="004C3D89">
        <w:rPr>
          <w:rFonts w:ascii="Bookman Old Style" w:hAnsi="Bookman Old Style" w:cs="Arial"/>
          <w:i/>
          <w:iCs/>
          <w:sz w:val="28"/>
          <w:szCs w:val="28"/>
          <w:lang w:val="el-GR"/>
        </w:rPr>
        <w:t xml:space="preserve"> </w:t>
      </w:r>
      <w:r w:rsidR="000D7BBA" w:rsidRPr="004C3D89">
        <w:rPr>
          <w:rFonts w:ascii="Bookman Old Style" w:hAnsi="Bookman Old Style" w:cs="Arial"/>
          <w:i/>
          <w:iCs/>
          <w:sz w:val="28"/>
          <w:szCs w:val="28"/>
          <w:lang w:val="en-GB"/>
        </w:rPr>
        <w:t>Sales</w:t>
      </w:r>
      <w:r w:rsidR="000D7BBA" w:rsidRPr="004C3D89">
        <w:rPr>
          <w:rFonts w:ascii="Bookman Old Style" w:hAnsi="Bookman Old Style" w:cs="Arial"/>
          <w:i/>
          <w:iCs/>
          <w:sz w:val="28"/>
          <w:szCs w:val="28"/>
          <w:lang w:val="el-GR"/>
        </w:rPr>
        <w:t xml:space="preserve"> </w:t>
      </w:r>
      <w:r w:rsidR="000D7BBA" w:rsidRPr="004C3D89">
        <w:rPr>
          <w:rFonts w:ascii="Bookman Old Style" w:hAnsi="Bookman Old Style" w:cs="Arial"/>
          <w:i/>
          <w:iCs/>
          <w:sz w:val="28"/>
          <w:szCs w:val="28"/>
          <w:lang w:val="en-GB"/>
        </w:rPr>
        <w:t>Act</w:t>
      </w:r>
      <w:r w:rsidR="000D7BBA" w:rsidRPr="00095549">
        <w:rPr>
          <w:rFonts w:ascii="Bookman Old Style" w:hAnsi="Bookman Old Style" w:cs="Arial"/>
          <w:sz w:val="28"/>
          <w:szCs w:val="28"/>
          <w:lang w:val="el-GR"/>
        </w:rPr>
        <w:t xml:space="preserve"> </w:t>
      </w:r>
      <w:r w:rsidR="000D7BBA">
        <w:rPr>
          <w:rFonts w:ascii="Bookman Old Style" w:hAnsi="Bookman Old Style" w:cs="Arial"/>
          <w:sz w:val="28"/>
          <w:szCs w:val="28"/>
          <w:lang w:val="el-GR"/>
        </w:rPr>
        <w:t xml:space="preserve">και επομένως η μη εγγραφή καθιστούσε τη μεταβίβαση άκυρη, κάτι το οποίο δεν ισχύει στην υπό κρίση περίπτωση. </w:t>
      </w:r>
    </w:p>
    <w:p w14:paraId="4E08DA49" w14:textId="25C89BB0" w:rsidR="00CB4376" w:rsidRDefault="004C3D89"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Περαιτέρω, δ</w:t>
      </w:r>
      <w:r w:rsidR="00DF2211">
        <w:rPr>
          <w:rFonts w:ascii="Bookman Old Style" w:hAnsi="Bookman Old Style" w:cs="Arial"/>
          <w:sz w:val="28"/>
          <w:szCs w:val="28"/>
          <w:lang w:val="el-GR"/>
        </w:rPr>
        <w:t xml:space="preserve">εν κρίνουμε βάσιμη την εισήγηση του Εφεσείοντα ότι η επίδικη συμφωνία είναι παράνομη καθότι καταστρατηγεί τις διατάξεις του </w:t>
      </w:r>
      <w:r w:rsidR="00DF2211" w:rsidRPr="00DF2211">
        <w:rPr>
          <w:rFonts w:ascii="Bookman Old Style" w:hAnsi="Bookman Old Style" w:cs="Arial"/>
          <w:b/>
          <w:bCs/>
          <w:i/>
          <w:iCs/>
          <w:sz w:val="28"/>
          <w:szCs w:val="28"/>
          <w:lang w:val="el-GR"/>
        </w:rPr>
        <w:t>Κανονισμού 4</w:t>
      </w:r>
      <w:r w:rsidR="00DF2211">
        <w:rPr>
          <w:rFonts w:ascii="Bookman Old Style" w:hAnsi="Bookman Old Style" w:cs="Arial"/>
          <w:sz w:val="28"/>
          <w:szCs w:val="28"/>
          <w:lang w:val="el-GR"/>
        </w:rPr>
        <w:t xml:space="preserve"> της </w:t>
      </w:r>
      <w:r w:rsidR="00DF2211" w:rsidRPr="00DF2211">
        <w:rPr>
          <w:rFonts w:ascii="Bookman Old Style" w:hAnsi="Bookman Old Style" w:cs="Arial"/>
          <w:b/>
          <w:bCs/>
          <w:i/>
          <w:iCs/>
          <w:sz w:val="28"/>
          <w:szCs w:val="28"/>
          <w:lang w:val="el-GR"/>
        </w:rPr>
        <w:t>Κ.Δ.Π. 66/84</w:t>
      </w:r>
      <w:r w:rsidR="00DF2211">
        <w:rPr>
          <w:rFonts w:ascii="Bookman Old Style" w:hAnsi="Bookman Old Style" w:cs="Arial"/>
          <w:sz w:val="28"/>
          <w:szCs w:val="28"/>
          <w:lang w:val="el-GR"/>
        </w:rPr>
        <w:t xml:space="preserve">, κάτι το οποίο αγνόησε το πρωτόδικο Δικαστήριο. Ο εν λόγω Κανονισμός προνοεί για την υποχρέωση εγγραφής οχήματος για σκοπούς χρήσης ή οδήγησης του, όπως αναφέρεται ρητά στον </w:t>
      </w:r>
      <w:r w:rsidR="00DF2211" w:rsidRPr="00DF2211">
        <w:rPr>
          <w:rFonts w:ascii="Bookman Old Style" w:hAnsi="Bookman Old Style" w:cs="Arial"/>
          <w:b/>
          <w:bCs/>
          <w:i/>
          <w:iCs/>
          <w:sz w:val="28"/>
          <w:szCs w:val="28"/>
          <w:lang w:val="el-GR"/>
        </w:rPr>
        <w:t>Κανονισμό 4(1)</w:t>
      </w:r>
      <w:r w:rsidR="00DF2211">
        <w:rPr>
          <w:rFonts w:ascii="Bookman Old Style" w:hAnsi="Bookman Old Style" w:cs="Arial"/>
          <w:sz w:val="28"/>
          <w:szCs w:val="28"/>
          <w:lang w:val="el-GR"/>
        </w:rPr>
        <w:t xml:space="preserve">, επομένως, ορθά το πρωτόδικο Δικαστήριο επεσήμανε ότι η εγγραφή είναι αναγκαία για την κυκλοφορία του οχήματος και όχι για την κυριότητα του. </w:t>
      </w:r>
    </w:p>
    <w:p w14:paraId="250F9648" w14:textId="6EA4B422" w:rsidR="00B64E4E" w:rsidRDefault="00B64E4E"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Η υπόθεση </w:t>
      </w:r>
      <w:proofErr w:type="spellStart"/>
      <w:r w:rsidRPr="00B64E4E">
        <w:rPr>
          <w:rFonts w:ascii="Bookman Old Style" w:hAnsi="Bookman Old Style" w:cs="Arial"/>
          <w:b/>
          <w:bCs/>
          <w:i/>
          <w:iCs/>
          <w:sz w:val="28"/>
          <w:szCs w:val="28"/>
          <w:lang w:val="en-GB"/>
        </w:rPr>
        <w:t>Polycast</w:t>
      </w:r>
      <w:proofErr w:type="spellEnd"/>
      <w:r w:rsidRPr="00095549">
        <w:rPr>
          <w:rFonts w:ascii="Bookman Old Style" w:hAnsi="Bookman Old Style" w:cs="Arial"/>
          <w:b/>
          <w:bCs/>
          <w:i/>
          <w:iCs/>
          <w:sz w:val="28"/>
          <w:szCs w:val="28"/>
          <w:lang w:val="el-GR"/>
        </w:rPr>
        <w:t xml:space="preserve"> </w:t>
      </w:r>
      <w:r w:rsidRPr="00B64E4E">
        <w:rPr>
          <w:rFonts w:ascii="Bookman Old Style" w:hAnsi="Bookman Old Style" w:cs="Arial"/>
          <w:b/>
          <w:bCs/>
          <w:i/>
          <w:iCs/>
          <w:sz w:val="28"/>
          <w:szCs w:val="28"/>
          <w:lang w:val="en-GB"/>
        </w:rPr>
        <w:t>Panels</w:t>
      </w:r>
      <w:r w:rsidRPr="00095549">
        <w:rPr>
          <w:rFonts w:ascii="Bookman Old Style" w:hAnsi="Bookman Old Style" w:cs="Arial"/>
          <w:b/>
          <w:bCs/>
          <w:i/>
          <w:iCs/>
          <w:sz w:val="28"/>
          <w:szCs w:val="28"/>
          <w:lang w:val="el-GR"/>
        </w:rPr>
        <w:t xml:space="preserve"> </w:t>
      </w:r>
      <w:r w:rsidRPr="00B64E4E">
        <w:rPr>
          <w:rFonts w:ascii="Bookman Old Style" w:hAnsi="Bookman Old Style" w:cs="Arial"/>
          <w:b/>
          <w:bCs/>
          <w:i/>
          <w:iCs/>
          <w:sz w:val="28"/>
          <w:szCs w:val="28"/>
          <w:lang w:val="en-GB"/>
        </w:rPr>
        <w:t>Ltd</w:t>
      </w:r>
      <w:r w:rsidRPr="00095549">
        <w:rPr>
          <w:rFonts w:ascii="Bookman Old Style" w:hAnsi="Bookman Old Style" w:cs="Arial"/>
          <w:b/>
          <w:bCs/>
          <w:i/>
          <w:iCs/>
          <w:sz w:val="28"/>
          <w:szCs w:val="28"/>
          <w:lang w:val="el-GR"/>
        </w:rPr>
        <w:t xml:space="preserve"> </w:t>
      </w:r>
      <w:r w:rsidRPr="00B64E4E">
        <w:rPr>
          <w:rFonts w:ascii="Bookman Old Style" w:hAnsi="Bookman Old Style" w:cs="Arial"/>
          <w:b/>
          <w:bCs/>
          <w:i/>
          <w:iCs/>
          <w:sz w:val="28"/>
          <w:szCs w:val="28"/>
          <w:lang w:val="en-GB"/>
        </w:rPr>
        <w:t>v</w:t>
      </w:r>
      <w:r w:rsidRPr="00095549">
        <w:rPr>
          <w:rFonts w:ascii="Bookman Old Style" w:hAnsi="Bookman Old Style" w:cs="Arial"/>
          <w:b/>
          <w:bCs/>
          <w:i/>
          <w:iCs/>
          <w:sz w:val="28"/>
          <w:szCs w:val="28"/>
          <w:lang w:val="el-GR"/>
        </w:rPr>
        <w:t xml:space="preserve">. </w:t>
      </w:r>
      <w:r w:rsidRPr="00B64E4E">
        <w:rPr>
          <w:rFonts w:ascii="Bookman Old Style" w:hAnsi="Bookman Old Style" w:cs="Arial"/>
          <w:b/>
          <w:bCs/>
          <w:i/>
          <w:iCs/>
          <w:sz w:val="28"/>
          <w:szCs w:val="28"/>
          <w:lang w:val="en-GB"/>
        </w:rPr>
        <w:t>Alpha</w:t>
      </w:r>
      <w:r w:rsidRPr="00095549">
        <w:rPr>
          <w:rFonts w:ascii="Bookman Old Style" w:hAnsi="Bookman Old Style" w:cs="Arial"/>
          <w:b/>
          <w:bCs/>
          <w:i/>
          <w:iCs/>
          <w:sz w:val="28"/>
          <w:szCs w:val="28"/>
          <w:lang w:val="el-GR"/>
        </w:rPr>
        <w:t xml:space="preserve"> </w:t>
      </w:r>
      <w:r w:rsidRPr="00B64E4E">
        <w:rPr>
          <w:rFonts w:ascii="Bookman Old Style" w:hAnsi="Bookman Old Style" w:cs="Arial"/>
          <w:b/>
          <w:bCs/>
          <w:i/>
          <w:iCs/>
          <w:sz w:val="28"/>
          <w:szCs w:val="28"/>
          <w:lang w:val="el-GR"/>
        </w:rPr>
        <w:t>Τράπεζα Λτδ (2009) 1(Β) Α.Α.Δ. 1396</w:t>
      </w:r>
      <w:r>
        <w:rPr>
          <w:rFonts w:ascii="Bookman Old Style" w:hAnsi="Bookman Old Style" w:cs="Arial"/>
          <w:sz w:val="28"/>
          <w:szCs w:val="28"/>
          <w:lang w:val="el-GR"/>
        </w:rPr>
        <w:t xml:space="preserve">, στην οποία παρέπεμψε ο Εφεσείων δεν κρίνεται </w:t>
      </w:r>
      <w:r>
        <w:rPr>
          <w:rFonts w:ascii="Bookman Old Style" w:hAnsi="Bookman Old Style" w:cs="Arial"/>
          <w:sz w:val="28"/>
          <w:szCs w:val="28"/>
          <w:lang w:val="el-GR"/>
        </w:rPr>
        <w:lastRenderedPageBreak/>
        <w:t xml:space="preserve">βοηθητική. Εκείνη αφορούσε το δικαίωμα πώλησης από την τράπεζα ενός οχήματος με δημόσιο πλειστηριασμό κατόπιν δικαστικής απόφασης. Εκεί κρίθηκε ότι για τον σκοπό της πώλησης ίσχυε σιωπηρός ουσιώδης όρος εκ μέρους του πωλητή, της τράπεζας, ότι έχει δικαίωμα να πωλήσει το αγαθό και ότι κατά τη συμφωνία πώλησης έχει το δικαίωμα να πωλήσει και μεταβιβάσει το αγαθό. Στην υπό κρίση περίπτωση, το ζητούμενο ήταν εντελώς διαφορετικό, ήτοι η δυνατότητα σύναψης έγκυρης συμφωνίας </w:t>
      </w:r>
      <w:proofErr w:type="spellStart"/>
      <w:r>
        <w:rPr>
          <w:rFonts w:ascii="Bookman Old Style" w:hAnsi="Bookman Old Style" w:cs="Arial"/>
          <w:sz w:val="28"/>
          <w:szCs w:val="28"/>
          <w:lang w:val="el-GR"/>
        </w:rPr>
        <w:t>ενοικιαγοράς</w:t>
      </w:r>
      <w:proofErr w:type="spellEnd"/>
      <w:r>
        <w:rPr>
          <w:rFonts w:ascii="Bookman Old Style" w:hAnsi="Bookman Old Style" w:cs="Arial"/>
          <w:sz w:val="28"/>
          <w:szCs w:val="28"/>
          <w:lang w:val="el-GR"/>
        </w:rPr>
        <w:t xml:space="preserve"> στο πλαίσιο της οποίας το αντικείμενο αυτής, το όχημα, περιήλθε στην κατοχή και κυριότητα της τράπεζας</w:t>
      </w:r>
      <w:r w:rsidR="00802D48">
        <w:rPr>
          <w:rFonts w:ascii="Bookman Old Style" w:hAnsi="Bookman Old Style" w:cs="Arial"/>
          <w:sz w:val="28"/>
          <w:szCs w:val="28"/>
          <w:lang w:val="el-GR"/>
        </w:rPr>
        <w:t>, χωρίς αυτό να εγγραφεί</w:t>
      </w:r>
      <w:r w:rsidR="00895B09">
        <w:rPr>
          <w:rFonts w:ascii="Bookman Old Style" w:hAnsi="Bookman Old Style" w:cs="Arial"/>
          <w:sz w:val="28"/>
          <w:szCs w:val="28"/>
          <w:lang w:val="el-GR"/>
        </w:rPr>
        <w:t xml:space="preserve"> στο όνομα της</w:t>
      </w:r>
      <w:r>
        <w:rPr>
          <w:rFonts w:ascii="Bookman Old Style" w:hAnsi="Bookman Old Style" w:cs="Arial"/>
          <w:sz w:val="28"/>
          <w:szCs w:val="28"/>
          <w:lang w:val="el-GR"/>
        </w:rPr>
        <w:t xml:space="preserve">. </w:t>
      </w:r>
    </w:p>
    <w:p w14:paraId="22AB4F92" w14:textId="6AFD7514" w:rsidR="00B42183" w:rsidRDefault="00B42183"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Ο ισχυρισμός του Εφεσείοντα πως η Εφεσίβλητη </w:t>
      </w:r>
      <w:r w:rsidR="00BE142A">
        <w:rPr>
          <w:rFonts w:ascii="Bookman Old Style" w:hAnsi="Bookman Old Style" w:cs="Arial"/>
          <w:sz w:val="28"/>
          <w:szCs w:val="28"/>
          <w:lang w:val="el-GR"/>
        </w:rPr>
        <w:t xml:space="preserve">παρανομούσε επειδή ανέχθηκε και επέτρεψε την κυκλοφορία μη εγγεγραμμένου οχήματος δεν </w:t>
      </w:r>
      <w:r w:rsidR="00461BD5">
        <w:rPr>
          <w:rFonts w:ascii="Bookman Old Style" w:hAnsi="Bookman Old Style" w:cs="Arial"/>
          <w:sz w:val="28"/>
          <w:szCs w:val="28"/>
          <w:lang w:val="el-GR"/>
        </w:rPr>
        <w:t xml:space="preserve">ηγέρθη </w:t>
      </w:r>
      <w:r w:rsidR="00BE142A">
        <w:rPr>
          <w:rFonts w:ascii="Bookman Old Style" w:hAnsi="Bookman Old Style" w:cs="Arial"/>
          <w:sz w:val="28"/>
          <w:szCs w:val="28"/>
          <w:lang w:val="el-GR"/>
        </w:rPr>
        <w:t xml:space="preserve">στην πρωτόδικη διαδικασία και επομένως δεν μπορεί να αποτελέσει αντικείμενο της έφεσης. </w:t>
      </w:r>
    </w:p>
    <w:p w14:paraId="11793A23" w14:textId="13F08991" w:rsidR="00BE142A" w:rsidRDefault="00BE142A"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Ο </w:t>
      </w:r>
      <w:r w:rsidR="00616EA7">
        <w:rPr>
          <w:rFonts w:ascii="Bookman Old Style" w:hAnsi="Bookman Old Style" w:cs="Arial"/>
          <w:sz w:val="28"/>
          <w:szCs w:val="28"/>
          <w:lang w:val="el-GR"/>
        </w:rPr>
        <w:t>πέμπτ</w:t>
      </w:r>
      <w:r>
        <w:rPr>
          <w:rFonts w:ascii="Bookman Old Style" w:hAnsi="Bookman Old Style" w:cs="Arial"/>
          <w:sz w:val="28"/>
          <w:szCs w:val="28"/>
          <w:lang w:val="el-GR"/>
        </w:rPr>
        <w:t xml:space="preserve">ος λόγος έφεσης κρίνεται αβάσιμος και απορρίπτεται. </w:t>
      </w:r>
    </w:p>
    <w:p w14:paraId="54FDE4C2" w14:textId="2E18F090" w:rsidR="00BE142A" w:rsidRDefault="00133CBA"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Ο εκτός λόγος έφεσης αφορά στην κατάληξη του πρωτόδικου Δικαστηρίου ότι η εγγύηση του Εφεσείοντα δεν κατέστη ακυρώσιμη λόγω μη αποκάλυψης της μη εγγραφής του επίδικου οχήματος κατά τον ουσιώδη χρόνο. </w:t>
      </w:r>
    </w:p>
    <w:p w14:paraId="5AA09613" w14:textId="7BCF6002" w:rsidR="00526142" w:rsidRDefault="00526142" w:rsidP="00095549">
      <w:pPr>
        <w:spacing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Το πρωτόδικο Δικαστήριο ορθά παρέπεμψε στην υπόθεση </w:t>
      </w:r>
      <w:r w:rsidRPr="00526142">
        <w:rPr>
          <w:rFonts w:ascii="Bookman Old Style" w:hAnsi="Bookman Old Style" w:cs="Arial"/>
          <w:b/>
          <w:bCs/>
          <w:i/>
          <w:iCs/>
          <w:sz w:val="28"/>
          <w:szCs w:val="28"/>
          <w:lang w:val="el-GR"/>
        </w:rPr>
        <w:t xml:space="preserve">Παναγιώτου </w:t>
      </w:r>
      <w:r w:rsidRPr="00526142">
        <w:rPr>
          <w:rFonts w:ascii="Bookman Old Style" w:hAnsi="Bookman Old Style" w:cs="Arial"/>
          <w:b/>
          <w:bCs/>
          <w:i/>
          <w:iCs/>
          <w:sz w:val="28"/>
          <w:szCs w:val="28"/>
          <w:lang w:val="en-GB"/>
        </w:rPr>
        <w:t>v</w:t>
      </w:r>
      <w:r w:rsidRPr="00095549">
        <w:rPr>
          <w:rFonts w:ascii="Bookman Old Style" w:hAnsi="Bookman Old Style" w:cs="Arial"/>
          <w:b/>
          <w:bCs/>
          <w:i/>
          <w:iCs/>
          <w:sz w:val="28"/>
          <w:szCs w:val="28"/>
          <w:lang w:val="el-GR"/>
        </w:rPr>
        <w:t xml:space="preserve">. </w:t>
      </w:r>
      <w:r w:rsidRPr="00526142">
        <w:rPr>
          <w:rFonts w:ascii="Bookman Old Style" w:hAnsi="Bookman Old Style" w:cs="Arial"/>
          <w:b/>
          <w:bCs/>
          <w:i/>
          <w:iCs/>
          <w:sz w:val="28"/>
          <w:szCs w:val="28"/>
          <w:lang w:val="el-GR"/>
        </w:rPr>
        <w:t>Τράπεζα Κύπρου Λτδ (2014) 1(Β) Α.Α.Δ. 1518</w:t>
      </w:r>
      <w:r>
        <w:rPr>
          <w:rFonts w:ascii="Bookman Old Style" w:hAnsi="Bookman Old Style" w:cs="Arial"/>
          <w:sz w:val="28"/>
          <w:szCs w:val="28"/>
          <w:lang w:val="el-GR"/>
        </w:rPr>
        <w:t xml:space="preserve">, στην οποία </w:t>
      </w:r>
      <w:r w:rsidR="004214FF">
        <w:rPr>
          <w:rFonts w:ascii="Bookman Old Style" w:hAnsi="Bookman Old Style" w:cs="Arial"/>
          <w:sz w:val="28"/>
          <w:szCs w:val="28"/>
          <w:lang w:val="el-GR"/>
        </w:rPr>
        <w:t xml:space="preserve">εξετάστηκε το </w:t>
      </w:r>
      <w:r w:rsidR="004214FF" w:rsidRPr="004214FF">
        <w:rPr>
          <w:rFonts w:ascii="Bookman Old Style" w:hAnsi="Bookman Old Style" w:cs="Arial"/>
          <w:b/>
          <w:bCs/>
          <w:i/>
          <w:iCs/>
          <w:sz w:val="28"/>
          <w:szCs w:val="28"/>
          <w:lang w:val="el-GR"/>
        </w:rPr>
        <w:t xml:space="preserve">άρθρο 101 </w:t>
      </w:r>
      <w:r w:rsidR="004214FF" w:rsidRPr="004214FF">
        <w:rPr>
          <w:rFonts w:ascii="Bookman Old Style" w:hAnsi="Bookman Old Style" w:cs="Arial"/>
          <w:sz w:val="28"/>
          <w:szCs w:val="28"/>
          <w:lang w:val="el-GR"/>
        </w:rPr>
        <w:t>του</w:t>
      </w:r>
      <w:r w:rsidR="004214FF" w:rsidRPr="004214FF">
        <w:rPr>
          <w:rFonts w:ascii="Bookman Old Style" w:hAnsi="Bookman Old Style" w:cs="Arial"/>
          <w:b/>
          <w:bCs/>
          <w:i/>
          <w:iCs/>
          <w:sz w:val="28"/>
          <w:szCs w:val="28"/>
          <w:lang w:val="el-GR"/>
        </w:rPr>
        <w:t xml:space="preserve"> περί Συμβάσεων Νόμου</w:t>
      </w:r>
      <w:r w:rsidR="004214FF" w:rsidRPr="004214FF">
        <w:rPr>
          <w:rFonts w:ascii="Bookman Old Style" w:hAnsi="Bookman Old Style" w:cs="Arial"/>
          <w:sz w:val="28"/>
          <w:szCs w:val="28"/>
          <w:lang w:val="el-GR"/>
        </w:rPr>
        <w:t>,</w:t>
      </w:r>
      <w:r w:rsidR="004214FF" w:rsidRPr="004214FF">
        <w:rPr>
          <w:rFonts w:ascii="Bookman Old Style" w:hAnsi="Bookman Old Style" w:cs="Arial"/>
          <w:b/>
          <w:bCs/>
          <w:i/>
          <w:iCs/>
          <w:sz w:val="28"/>
          <w:szCs w:val="28"/>
          <w:lang w:val="el-GR"/>
        </w:rPr>
        <w:t xml:space="preserve"> Κεφ. 149</w:t>
      </w:r>
      <w:r w:rsidR="004214FF">
        <w:rPr>
          <w:rFonts w:ascii="Bookman Old Style" w:hAnsi="Bookman Old Style" w:cs="Arial"/>
          <w:sz w:val="28"/>
          <w:szCs w:val="28"/>
          <w:lang w:val="el-GR"/>
        </w:rPr>
        <w:t xml:space="preserve">, σύμφωνα με το οποίο εγγύηση που εξασφαλίστηκε από τον πιστωτή τηρώντας σιωπή ως προς ουσιαστικό περιστατικό δεν είναι έγκυρη. Σε εκείνη την υπόθεση λέχθηκε ότι μια σύμβαση εγγύησης δεν είναι σύμβαση υψίστης πίστεως και </w:t>
      </w:r>
      <w:r w:rsidR="001B7E31">
        <w:rPr>
          <w:rFonts w:ascii="Bookman Old Style" w:hAnsi="Bookman Old Style" w:cs="Arial"/>
          <w:sz w:val="28"/>
          <w:szCs w:val="28"/>
          <w:lang w:val="el-GR"/>
        </w:rPr>
        <w:t xml:space="preserve">ότι </w:t>
      </w:r>
      <w:r w:rsidR="004214FF">
        <w:rPr>
          <w:rFonts w:ascii="Bookman Old Style" w:hAnsi="Bookman Old Style" w:cs="Arial"/>
          <w:sz w:val="28"/>
          <w:szCs w:val="28"/>
          <w:lang w:val="el-GR"/>
        </w:rPr>
        <w:t xml:space="preserve">ο πιστωτής δεν έχει γενικό καθήκον αποκάλυψης στον </w:t>
      </w:r>
      <w:proofErr w:type="spellStart"/>
      <w:r w:rsidR="004214FF">
        <w:rPr>
          <w:rFonts w:ascii="Bookman Old Style" w:hAnsi="Bookman Old Style" w:cs="Arial"/>
          <w:sz w:val="28"/>
          <w:szCs w:val="28"/>
          <w:lang w:val="el-GR"/>
        </w:rPr>
        <w:t>προτιθέμενο</w:t>
      </w:r>
      <w:proofErr w:type="spellEnd"/>
      <w:r w:rsidR="004214FF">
        <w:rPr>
          <w:rFonts w:ascii="Bookman Old Style" w:hAnsi="Bookman Old Style" w:cs="Arial"/>
          <w:sz w:val="28"/>
          <w:szCs w:val="28"/>
          <w:lang w:val="el-GR"/>
        </w:rPr>
        <w:t xml:space="preserve"> εγγυητή όλων των ουσιαστικών στοιχείων που γνωρίζει για τον </w:t>
      </w:r>
      <w:proofErr w:type="spellStart"/>
      <w:r w:rsidR="004214FF">
        <w:rPr>
          <w:rFonts w:ascii="Bookman Old Style" w:hAnsi="Bookman Old Style" w:cs="Arial"/>
          <w:sz w:val="28"/>
          <w:szCs w:val="28"/>
          <w:lang w:val="el-GR"/>
        </w:rPr>
        <w:t>πρωτοφειλέτη</w:t>
      </w:r>
      <w:proofErr w:type="spellEnd"/>
      <w:r w:rsidR="004214FF">
        <w:rPr>
          <w:rFonts w:ascii="Bookman Old Style" w:hAnsi="Bookman Old Style" w:cs="Arial"/>
          <w:sz w:val="28"/>
          <w:szCs w:val="28"/>
          <w:lang w:val="el-GR"/>
        </w:rPr>
        <w:t xml:space="preserve">, όμως υπάρχει περιορισμένο καθήκον αποκάλυψης, το εύρος του οποίου εξαρτάται από τον συγκεκριμένο τύπο της εγγύησης. </w:t>
      </w:r>
    </w:p>
    <w:p w14:paraId="4FE44502" w14:textId="12861BA7" w:rsidR="004214FF" w:rsidRPr="00095549" w:rsidRDefault="001B7E31"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Αποτέλεσε θέση του Εφεσείοντα πως η Εφεσίβλητη όφειλε να του είχε αποκαλύψει ότι το όχημα</w:t>
      </w:r>
      <w:r w:rsidR="00C769CE">
        <w:rPr>
          <w:rFonts w:ascii="Bookman Old Style" w:hAnsi="Bookman Old Style" w:cs="Arial"/>
          <w:sz w:val="28"/>
          <w:szCs w:val="28"/>
          <w:lang w:val="el-GR"/>
        </w:rPr>
        <w:t>,</w:t>
      </w:r>
      <w:r>
        <w:rPr>
          <w:rFonts w:ascii="Bookman Old Style" w:hAnsi="Bookman Old Style" w:cs="Arial"/>
          <w:sz w:val="28"/>
          <w:szCs w:val="28"/>
          <w:lang w:val="el-GR"/>
        </w:rPr>
        <w:t xml:space="preserve"> αντικείμενο της </w:t>
      </w:r>
      <w:proofErr w:type="spellStart"/>
      <w:r>
        <w:rPr>
          <w:rFonts w:ascii="Bookman Old Style" w:hAnsi="Bookman Old Style" w:cs="Arial"/>
          <w:sz w:val="28"/>
          <w:szCs w:val="28"/>
          <w:lang w:val="el-GR"/>
        </w:rPr>
        <w:t>ενοικιαγοράς</w:t>
      </w:r>
      <w:proofErr w:type="spellEnd"/>
      <w:r>
        <w:rPr>
          <w:rFonts w:ascii="Bookman Old Style" w:hAnsi="Bookman Old Style" w:cs="Arial"/>
          <w:sz w:val="28"/>
          <w:szCs w:val="28"/>
          <w:lang w:val="el-GR"/>
        </w:rPr>
        <w:t xml:space="preserve">, δεν ήταν εγγεγραμμένο καθότι δεν ήταν εύλογα αναμενόμενο από τον ίδιο </w:t>
      </w:r>
      <w:r w:rsidR="00EE5605">
        <w:rPr>
          <w:rFonts w:ascii="Bookman Old Style" w:hAnsi="Bookman Old Style" w:cs="Arial"/>
          <w:sz w:val="28"/>
          <w:szCs w:val="28"/>
          <w:lang w:val="el-GR"/>
        </w:rPr>
        <w:t xml:space="preserve">να γνωρίζει ή υποθέσει </w:t>
      </w:r>
      <w:r>
        <w:rPr>
          <w:rFonts w:ascii="Bookman Old Style" w:hAnsi="Bookman Old Style" w:cs="Arial"/>
          <w:sz w:val="28"/>
          <w:szCs w:val="28"/>
          <w:lang w:val="el-GR"/>
        </w:rPr>
        <w:t xml:space="preserve">πως αυτό δεν ήταν εγγεγραμμένο. </w:t>
      </w:r>
      <w:r w:rsidR="004214FF">
        <w:rPr>
          <w:rFonts w:ascii="Bookman Old Style" w:hAnsi="Bookman Old Style" w:cs="Arial"/>
          <w:sz w:val="28"/>
          <w:szCs w:val="28"/>
          <w:lang w:val="el-GR"/>
        </w:rPr>
        <w:t xml:space="preserve">Το πρωτόδικο Δικαστήριο απέρριψε </w:t>
      </w:r>
      <w:r>
        <w:rPr>
          <w:rFonts w:ascii="Bookman Old Style" w:hAnsi="Bookman Old Style" w:cs="Arial"/>
          <w:sz w:val="28"/>
          <w:szCs w:val="28"/>
          <w:lang w:val="el-GR"/>
        </w:rPr>
        <w:t>αυτή την εισήγηση, δίδοντας</w:t>
      </w:r>
      <w:r w:rsidR="004214FF">
        <w:rPr>
          <w:rFonts w:ascii="Bookman Old Style" w:hAnsi="Bookman Old Style" w:cs="Arial"/>
          <w:sz w:val="28"/>
          <w:szCs w:val="28"/>
          <w:lang w:val="el-GR"/>
        </w:rPr>
        <w:t xml:space="preserve"> επαρκείς εξηγήσεις ως προς τούτο, ήτοι πως οι δύο εναγόμενοι, σύμφωνα με τον Εφεσείοντα και τον ΜΕ2, είχαν εμπορική συνεργασία με την Εφεσίβλητη στο πλαίσιο της οποίας ο Εφεσείων είχε εγγυηθεί και άλλες παρόμοιες συναλλαγές </w:t>
      </w:r>
      <w:r w:rsidR="004214FF">
        <w:rPr>
          <w:rFonts w:ascii="Bookman Old Style" w:hAnsi="Bookman Old Style" w:cs="Arial"/>
          <w:sz w:val="28"/>
          <w:szCs w:val="28"/>
          <w:lang w:val="el-GR"/>
        </w:rPr>
        <w:lastRenderedPageBreak/>
        <w:t xml:space="preserve">του εναγόμενου 1. Επιπλέον, ορθά το πρωτόδικο Δικαστήριο θεώρησε ότι το γεγονός της μη εγγραφής του οχήματος δεν επηρέαζε την κυριότητα αυτού, που είναι και το ουσιαστικό στοιχείο της </w:t>
      </w:r>
      <w:proofErr w:type="spellStart"/>
      <w:r w:rsidR="004214FF">
        <w:rPr>
          <w:rFonts w:ascii="Bookman Old Style" w:hAnsi="Bookman Old Style" w:cs="Arial"/>
          <w:sz w:val="28"/>
          <w:szCs w:val="28"/>
          <w:lang w:val="el-GR"/>
        </w:rPr>
        <w:t>ενοικιαγοράς</w:t>
      </w:r>
      <w:proofErr w:type="spellEnd"/>
      <w:r w:rsidR="004214FF">
        <w:rPr>
          <w:rFonts w:ascii="Bookman Old Style" w:hAnsi="Bookman Old Style" w:cs="Arial"/>
          <w:sz w:val="28"/>
          <w:szCs w:val="28"/>
          <w:lang w:val="el-GR"/>
        </w:rPr>
        <w:t xml:space="preserve">. </w:t>
      </w:r>
      <w:r w:rsidR="005910E6">
        <w:rPr>
          <w:rFonts w:ascii="Bookman Old Style" w:hAnsi="Bookman Old Style" w:cs="Arial"/>
          <w:sz w:val="28"/>
          <w:szCs w:val="28"/>
          <w:lang w:val="el-GR"/>
        </w:rPr>
        <w:t xml:space="preserve">Θεωρούμε εύστοχη την κατωτέρω ανάλυση του πρωτόδικου Δικαστηρίου ως προς τη φύση και την ουσία μιας σύμβασης </w:t>
      </w:r>
      <w:proofErr w:type="spellStart"/>
      <w:r w:rsidR="005910E6">
        <w:rPr>
          <w:rFonts w:ascii="Bookman Old Style" w:hAnsi="Bookman Old Style" w:cs="Arial"/>
          <w:sz w:val="28"/>
          <w:szCs w:val="28"/>
          <w:lang w:val="el-GR"/>
        </w:rPr>
        <w:t>ενοικιαγοράς</w:t>
      </w:r>
      <w:proofErr w:type="spellEnd"/>
      <w:r w:rsidR="005910E6">
        <w:rPr>
          <w:rFonts w:ascii="Bookman Old Style" w:hAnsi="Bookman Old Style" w:cs="Arial"/>
          <w:sz w:val="28"/>
          <w:szCs w:val="28"/>
          <w:lang w:val="el-GR"/>
        </w:rPr>
        <w:t xml:space="preserve"> και κατ’  επέκταση συμφωνίας εγγύησης αυτής</w:t>
      </w:r>
      <w:r w:rsidR="005910E6" w:rsidRPr="00095549">
        <w:rPr>
          <w:rFonts w:ascii="Bookman Old Style" w:hAnsi="Bookman Old Style" w:cs="Arial"/>
          <w:sz w:val="28"/>
          <w:szCs w:val="28"/>
          <w:lang w:val="el-GR"/>
        </w:rPr>
        <w:t>:</w:t>
      </w:r>
    </w:p>
    <w:p w14:paraId="7E5B5D64" w14:textId="1C08F598" w:rsidR="005910E6" w:rsidRDefault="005910E6" w:rsidP="002F2B08">
      <w:pPr>
        <w:spacing w:before="240" w:after="480" w:line="240" w:lineRule="auto"/>
        <w:ind w:left="567"/>
        <w:jc w:val="both"/>
        <w:rPr>
          <w:rFonts w:ascii="Bookman Old Style" w:hAnsi="Bookman Old Style" w:cs="Arial"/>
          <w:sz w:val="28"/>
          <w:szCs w:val="28"/>
          <w:lang w:val="el-GR"/>
        </w:rPr>
      </w:pPr>
      <w:r>
        <w:rPr>
          <w:rFonts w:ascii="Bookman Old Style" w:hAnsi="Bookman Old Style" w:cs="Arial"/>
          <w:sz w:val="28"/>
          <w:szCs w:val="28"/>
          <w:lang w:val="el-GR"/>
        </w:rPr>
        <w:t>«</w:t>
      </w:r>
      <w:r w:rsidRPr="00E608A9">
        <w:rPr>
          <w:rFonts w:ascii="Bookman Old Style" w:hAnsi="Bookman Old Style" w:cs="Arial"/>
          <w:i/>
          <w:iCs/>
          <w:sz w:val="28"/>
          <w:szCs w:val="28"/>
          <w:lang w:val="el-GR"/>
        </w:rPr>
        <w:t xml:space="preserve">Η ουσία μιας σύμβασης αυτής της φύσης είναι ότι ο ιδιοκτήτης, οι Ενάγοντες στην προκειμένη περίπτωση, ενοικιάζει το αντικείμενο στον μισθωτή, ήτοι στον Εναγόμενο 1. Αυτό και έγινε. Δεν αφορά τον ιδιοκτήτη πως και αν ο μισθωτής θα χρησιμοποιήσει το αντικείμενο της </w:t>
      </w:r>
      <w:proofErr w:type="spellStart"/>
      <w:r w:rsidRPr="00E608A9">
        <w:rPr>
          <w:rFonts w:ascii="Bookman Old Style" w:hAnsi="Bookman Old Style" w:cs="Arial"/>
          <w:i/>
          <w:iCs/>
          <w:sz w:val="28"/>
          <w:szCs w:val="28"/>
          <w:lang w:val="el-GR"/>
        </w:rPr>
        <w:t>ενοικιαγοράς</w:t>
      </w:r>
      <w:proofErr w:type="spellEnd"/>
      <w:r w:rsidRPr="00E608A9">
        <w:rPr>
          <w:rFonts w:ascii="Bookman Old Style" w:hAnsi="Bookman Old Style" w:cs="Arial"/>
          <w:i/>
          <w:iCs/>
          <w:sz w:val="28"/>
          <w:szCs w:val="28"/>
          <w:lang w:val="el-GR"/>
        </w:rPr>
        <w:t>. Δεν αφορούσε δηλαδή τους Ενάγοντες στην παρούσα περίπτωση αν ο Εναγόμενος 1 θα χρησιμοποιούσε το επίδικο όχημα για να κυκλοφορεί στους δρόμους της Δημοκρατίας, οπόταν και θα έπρεπε να είχε εγγραφεί και να αποκτήσει άδεια κυκλοφορίας</w:t>
      </w:r>
      <w:r>
        <w:rPr>
          <w:rFonts w:ascii="Bookman Old Style" w:hAnsi="Bookman Old Style" w:cs="Arial"/>
          <w:sz w:val="28"/>
          <w:szCs w:val="28"/>
          <w:lang w:val="el-GR"/>
        </w:rPr>
        <w:t xml:space="preserve">». </w:t>
      </w:r>
    </w:p>
    <w:p w14:paraId="7BFB5692" w14:textId="2BED9E3A" w:rsidR="009B4DD6" w:rsidRDefault="00D40EFE" w:rsidP="002F2B08">
      <w:pPr>
        <w:spacing w:before="240" w:line="24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Επομένως και ο έκτος λόγος έφεσης απορρίπτεται. </w:t>
      </w:r>
    </w:p>
    <w:p w14:paraId="2A3519B5" w14:textId="77777777" w:rsidR="002F2B08" w:rsidRDefault="002F2B08" w:rsidP="002F2B08">
      <w:pPr>
        <w:spacing w:after="0" w:line="120" w:lineRule="auto"/>
        <w:ind w:firstLine="567"/>
        <w:jc w:val="both"/>
        <w:rPr>
          <w:rFonts w:ascii="Bookman Old Style" w:hAnsi="Bookman Old Style" w:cs="Arial"/>
          <w:sz w:val="28"/>
          <w:szCs w:val="28"/>
          <w:lang w:val="el-GR"/>
        </w:rPr>
      </w:pPr>
    </w:p>
    <w:p w14:paraId="7B9233D0" w14:textId="58DA1794" w:rsidR="000B0320" w:rsidRDefault="000D0452"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Με τον έβδομο λόγο έφεσης αποδίδεται ότι το πρωτόδικο Δικαστήριο παρέλειψε να εξετάσει τις </w:t>
      </w:r>
      <w:proofErr w:type="spellStart"/>
      <w:r w:rsidR="009243FC">
        <w:rPr>
          <w:rFonts w:ascii="Bookman Old Style" w:hAnsi="Bookman Old Style" w:cs="Arial"/>
          <w:sz w:val="28"/>
          <w:szCs w:val="28"/>
          <w:lang w:val="el-GR"/>
        </w:rPr>
        <w:t>δικογραφημένες</w:t>
      </w:r>
      <w:proofErr w:type="spellEnd"/>
      <w:r w:rsidR="009243FC">
        <w:rPr>
          <w:rFonts w:ascii="Bookman Old Style" w:hAnsi="Bookman Old Style" w:cs="Arial"/>
          <w:sz w:val="28"/>
          <w:szCs w:val="28"/>
          <w:lang w:val="el-GR"/>
        </w:rPr>
        <w:t xml:space="preserve"> υπερασπίσεις του </w:t>
      </w:r>
      <w:proofErr w:type="spellStart"/>
      <w:r w:rsidR="009243FC">
        <w:rPr>
          <w:rFonts w:ascii="Bookman Old Style" w:hAnsi="Bookman Old Style" w:cs="Arial"/>
          <w:sz w:val="28"/>
          <w:szCs w:val="28"/>
          <w:lang w:val="el-GR"/>
        </w:rPr>
        <w:t>Εφεσείοντα</w:t>
      </w:r>
      <w:proofErr w:type="spellEnd"/>
      <w:r w:rsidR="009243FC">
        <w:rPr>
          <w:rFonts w:ascii="Bookman Old Style" w:hAnsi="Bookman Old Style" w:cs="Arial"/>
          <w:sz w:val="28"/>
          <w:szCs w:val="28"/>
          <w:lang w:val="el-GR"/>
        </w:rPr>
        <w:t xml:space="preserve"> ως προς την ακυρότητα της επίδικης συμφωνίας εγγύησης. </w:t>
      </w:r>
    </w:p>
    <w:p w14:paraId="1BB32498" w14:textId="71E12B85" w:rsidR="002A0F2D" w:rsidRDefault="004E4967"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Η εισήγηση πως αυτή η παράλειψη παραβιάζει το συνταγματικό δικαίωμα του Εφεσείοντα για δίκαιη δίκη δεν περιλαμβάνεται στον συγκεκριμένο λόγο έφεσης και επομένως δεν δύναται να εξεταστεί. </w:t>
      </w:r>
    </w:p>
    <w:p w14:paraId="14FD98C1" w14:textId="652AF71B" w:rsidR="004E4967" w:rsidRDefault="004E4967" w:rsidP="00095549">
      <w:pPr>
        <w:spacing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προέβαλε</w:t>
      </w:r>
      <w:proofErr w:type="spellEnd"/>
      <w:r>
        <w:rPr>
          <w:rFonts w:ascii="Bookman Old Style" w:hAnsi="Bookman Old Style" w:cs="Arial"/>
          <w:sz w:val="28"/>
          <w:szCs w:val="28"/>
          <w:lang w:val="el-GR"/>
        </w:rPr>
        <w:t xml:space="preserve"> ουσιαστικά δύο υπερασπίσεις, η πρώτη</w:t>
      </w:r>
      <w:r w:rsidR="00C769CE">
        <w:rPr>
          <w:rFonts w:ascii="Bookman Old Style" w:hAnsi="Bookman Old Style" w:cs="Arial"/>
          <w:sz w:val="28"/>
          <w:szCs w:val="28"/>
          <w:lang w:val="el-GR"/>
        </w:rPr>
        <w:t xml:space="preserve"> αφορά στην</w:t>
      </w:r>
      <w:r>
        <w:rPr>
          <w:rFonts w:ascii="Bookman Old Style" w:hAnsi="Bookman Old Style" w:cs="Arial"/>
          <w:sz w:val="28"/>
          <w:szCs w:val="28"/>
          <w:lang w:val="el-GR"/>
        </w:rPr>
        <w:t xml:space="preserve"> παραβίαση των </w:t>
      </w:r>
      <w:r w:rsidRPr="004E4967">
        <w:rPr>
          <w:rFonts w:ascii="Bookman Old Style" w:hAnsi="Bookman Old Style" w:cs="Arial"/>
          <w:b/>
          <w:bCs/>
          <w:i/>
          <w:iCs/>
          <w:sz w:val="28"/>
          <w:szCs w:val="28"/>
          <w:lang w:val="el-GR"/>
        </w:rPr>
        <w:t xml:space="preserve">άρθρων 97 </w:t>
      </w:r>
      <w:r w:rsidRPr="004E4967">
        <w:rPr>
          <w:rFonts w:ascii="Bookman Old Style" w:hAnsi="Bookman Old Style" w:cs="Arial"/>
          <w:sz w:val="28"/>
          <w:szCs w:val="28"/>
          <w:lang w:val="el-GR"/>
        </w:rPr>
        <w:t>και</w:t>
      </w:r>
      <w:r w:rsidRPr="004E4967">
        <w:rPr>
          <w:rFonts w:ascii="Bookman Old Style" w:hAnsi="Bookman Old Style" w:cs="Arial"/>
          <w:b/>
          <w:bCs/>
          <w:i/>
          <w:iCs/>
          <w:sz w:val="28"/>
          <w:szCs w:val="28"/>
          <w:lang w:val="el-GR"/>
        </w:rPr>
        <w:t xml:space="preserve"> 99 </w:t>
      </w:r>
      <w:r w:rsidRPr="004E4967">
        <w:rPr>
          <w:rFonts w:ascii="Bookman Old Style" w:hAnsi="Bookman Old Style" w:cs="Arial"/>
          <w:sz w:val="28"/>
          <w:szCs w:val="28"/>
          <w:lang w:val="el-GR"/>
        </w:rPr>
        <w:t>του</w:t>
      </w:r>
      <w:r w:rsidRPr="004E4967">
        <w:rPr>
          <w:rFonts w:ascii="Bookman Old Style" w:hAnsi="Bookman Old Style" w:cs="Arial"/>
          <w:b/>
          <w:bCs/>
          <w:i/>
          <w:iCs/>
          <w:sz w:val="28"/>
          <w:szCs w:val="28"/>
          <w:lang w:val="el-GR"/>
        </w:rPr>
        <w:t xml:space="preserve"> Κεφ. 149</w:t>
      </w:r>
      <w:r>
        <w:rPr>
          <w:rFonts w:ascii="Bookman Old Style" w:hAnsi="Bookman Old Style" w:cs="Arial"/>
          <w:sz w:val="28"/>
          <w:szCs w:val="28"/>
          <w:lang w:val="el-GR"/>
        </w:rPr>
        <w:t xml:space="preserve"> και η δεύτερη </w:t>
      </w:r>
      <w:r w:rsidR="00C769CE">
        <w:rPr>
          <w:rFonts w:ascii="Bookman Old Style" w:hAnsi="Bookman Old Style" w:cs="Arial"/>
          <w:sz w:val="28"/>
          <w:szCs w:val="28"/>
          <w:lang w:val="el-GR"/>
        </w:rPr>
        <w:t xml:space="preserve">στην </w:t>
      </w:r>
      <w:r>
        <w:rPr>
          <w:rFonts w:ascii="Bookman Old Style" w:hAnsi="Bookman Old Style" w:cs="Arial"/>
          <w:sz w:val="28"/>
          <w:szCs w:val="28"/>
          <w:lang w:val="el-GR"/>
        </w:rPr>
        <w:t xml:space="preserve">παραβίαση των </w:t>
      </w:r>
      <w:r w:rsidRPr="004E4967">
        <w:rPr>
          <w:rFonts w:ascii="Bookman Old Style" w:hAnsi="Bookman Old Style" w:cs="Arial"/>
          <w:b/>
          <w:bCs/>
          <w:i/>
          <w:iCs/>
          <w:sz w:val="28"/>
          <w:szCs w:val="28"/>
          <w:lang w:val="el-GR"/>
        </w:rPr>
        <w:t xml:space="preserve">άρθρων 5 </w:t>
      </w:r>
      <w:r w:rsidRPr="004E4967">
        <w:rPr>
          <w:rFonts w:ascii="Bookman Old Style" w:hAnsi="Bookman Old Style" w:cs="Arial"/>
          <w:sz w:val="28"/>
          <w:szCs w:val="28"/>
          <w:lang w:val="el-GR"/>
        </w:rPr>
        <w:t>και</w:t>
      </w:r>
      <w:r w:rsidRPr="004E4967">
        <w:rPr>
          <w:rFonts w:ascii="Bookman Old Style" w:hAnsi="Bookman Old Style" w:cs="Arial"/>
          <w:b/>
          <w:bCs/>
          <w:i/>
          <w:iCs/>
          <w:sz w:val="28"/>
          <w:szCs w:val="28"/>
          <w:lang w:val="el-GR"/>
        </w:rPr>
        <w:t xml:space="preserve"> 12 </w:t>
      </w:r>
      <w:r w:rsidRPr="004E4967">
        <w:rPr>
          <w:rFonts w:ascii="Bookman Old Style" w:hAnsi="Bookman Old Style" w:cs="Arial"/>
          <w:sz w:val="28"/>
          <w:szCs w:val="28"/>
          <w:lang w:val="el-GR"/>
        </w:rPr>
        <w:t>του</w:t>
      </w:r>
      <w:r w:rsidRPr="004E4967">
        <w:rPr>
          <w:rFonts w:ascii="Bookman Old Style" w:hAnsi="Bookman Old Style" w:cs="Arial"/>
          <w:b/>
          <w:bCs/>
          <w:i/>
          <w:iCs/>
          <w:sz w:val="28"/>
          <w:szCs w:val="28"/>
          <w:lang w:val="el-GR"/>
        </w:rPr>
        <w:t xml:space="preserve"> περί Προστασίας (Ορισμένες Κατηγορίες) Εγγυητών του 2003</w:t>
      </w:r>
      <w:r w:rsidRPr="00557498">
        <w:rPr>
          <w:rFonts w:ascii="Bookman Old Style" w:hAnsi="Bookman Old Style" w:cs="Arial"/>
          <w:sz w:val="28"/>
          <w:szCs w:val="28"/>
          <w:lang w:val="el-GR"/>
        </w:rPr>
        <w:t>,</w:t>
      </w:r>
      <w:r w:rsidRPr="004E4967">
        <w:rPr>
          <w:rFonts w:ascii="Bookman Old Style" w:hAnsi="Bookman Old Style" w:cs="Arial"/>
          <w:b/>
          <w:bCs/>
          <w:i/>
          <w:iCs/>
          <w:sz w:val="28"/>
          <w:szCs w:val="28"/>
          <w:lang w:val="el-GR"/>
        </w:rPr>
        <w:t xml:space="preserve"> Ν. 197(Ι)/20</w:t>
      </w:r>
      <w:r w:rsidR="00047B77">
        <w:rPr>
          <w:rFonts w:ascii="Bookman Old Style" w:hAnsi="Bookman Old Style" w:cs="Arial"/>
          <w:b/>
          <w:bCs/>
          <w:i/>
          <w:iCs/>
          <w:sz w:val="28"/>
          <w:szCs w:val="28"/>
          <w:lang w:val="el-GR"/>
        </w:rPr>
        <w:t>0</w:t>
      </w:r>
      <w:r w:rsidRPr="004E4967">
        <w:rPr>
          <w:rFonts w:ascii="Bookman Old Style" w:hAnsi="Bookman Old Style" w:cs="Arial"/>
          <w:b/>
          <w:bCs/>
          <w:i/>
          <w:iCs/>
          <w:sz w:val="28"/>
          <w:szCs w:val="28"/>
          <w:lang w:val="el-GR"/>
        </w:rPr>
        <w:t>3</w:t>
      </w:r>
      <w:r>
        <w:rPr>
          <w:rFonts w:ascii="Bookman Old Style" w:hAnsi="Bookman Old Style" w:cs="Arial"/>
          <w:sz w:val="28"/>
          <w:szCs w:val="28"/>
          <w:lang w:val="el-GR"/>
        </w:rPr>
        <w:t xml:space="preserve">. </w:t>
      </w:r>
    </w:p>
    <w:p w14:paraId="372A0EC4" w14:textId="3092390D" w:rsidR="00124BB3" w:rsidRDefault="00124BB3"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Παρόλο που το πρωτόδικο Δικαστήριο δεν εξέτασε αυτές με </w:t>
      </w:r>
      <w:r w:rsidR="00C769CE">
        <w:rPr>
          <w:rFonts w:ascii="Bookman Old Style" w:hAnsi="Bookman Old Style" w:cs="Arial"/>
          <w:sz w:val="28"/>
          <w:szCs w:val="28"/>
          <w:lang w:val="el-GR"/>
        </w:rPr>
        <w:t xml:space="preserve">ρητή </w:t>
      </w:r>
      <w:r>
        <w:rPr>
          <w:rFonts w:ascii="Bookman Old Style" w:hAnsi="Bookman Old Style" w:cs="Arial"/>
          <w:sz w:val="28"/>
          <w:szCs w:val="28"/>
          <w:lang w:val="el-GR"/>
        </w:rPr>
        <w:t xml:space="preserve">αναφορά στους αντίστοιχους νόμους, εντούτοις η κατάληξη του πως ο Εφεσείων, δια της υπογραφής της εγγύησης, κατέστη υπόχρεος προς την Εφεσίβλητη, τόσο σε σχέση με την εκπλήρωση των συμβατικών υποχρεώσεων του εναγόμενου 1 όσο και σε σχέση με την παροχή εξασφάλισης και κάλυψης της Εφεσίβλητης έναντι κάθε ζημιάς που υπέστη από τις πράξεις ή παραλείψεις του εναγόμενου 1, ουσιαστικά απέληγε στην απόρριψη αυτών των υπερασπίσεων. </w:t>
      </w:r>
      <w:r w:rsidR="00341462">
        <w:rPr>
          <w:rFonts w:ascii="Bookman Old Style" w:hAnsi="Bookman Old Style" w:cs="Arial"/>
          <w:sz w:val="28"/>
          <w:szCs w:val="28"/>
          <w:lang w:val="el-GR"/>
        </w:rPr>
        <w:t xml:space="preserve">Το πρωτόδικο Δικαστήριο ορθά άντλησε καθοδήγηση από την υπόθεση </w:t>
      </w:r>
      <w:r w:rsidR="00341462" w:rsidRPr="00341462">
        <w:rPr>
          <w:rFonts w:ascii="Bookman Old Style" w:hAnsi="Bookman Old Style" w:cs="Arial"/>
          <w:b/>
          <w:bCs/>
          <w:i/>
          <w:iCs/>
          <w:sz w:val="28"/>
          <w:szCs w:val="28"/>
          <w:lang w:val="el-GR"/>
        </w:rPr>
        <w:t xml:space="preserve">Αντωνιάδου </w:t>
      </w:r>
      <w:r w:rsidR="00341462" w:rsidRPr="00341462">
        <w:rPr>
          <w:rFonts w:ascii="Bookman Old Style" w:hAnsi="Bookman Old Style" w:cs="Arial"/>
          <w:b/>
          <w:bCs/>
          <w:i/>
          <w:iCs/>
          <w:sz w:val="28"/>
          <w:szCs w:val="28"/>
          <w:lang w:val="en-GB"/>
        </w:rPr>
        <w:t>v</w:t>
      </w:r>
      <w:r w:rsidR="00341462" w:rsidRPr="00095549">
        <w:rPr>
          <w:rFonts w:ascii="Bookman Old Style" w:hAnsi="Bookman Old Style" w:cs="Arial"/>
          <w:b/>
          <w:bCs/>
          <w:i/>
          <w:iCs/>
          <w:sz w:val="28"/>
          <w:szCs w:val="28"/>
          <w:lang w:val="el-GR"/>
        </w:rPr>
        <w:t xml:space="preserve">. </w:t>
      </w:r>
      <w:r w:rsidR="00341462" w:rsidRPr="00341462">
        <w:rPr>
          <w:rFonts w:ascii="Bookman Old Style" w:hAnsi="Bookman Old Style" w:cs="Arial"/>
          <w:b/>
          <w:bCs/>
          <w:i/>
          <w:iCs/>
          <w:sz w:val="28"/>
          <w:szCs w:val="28"/>
          <w:lang w:val="el-GR"/>
        </w:rPr>
        <w:t xml:space="preserve">Λαϊκής Κυπριακής </w:t>
      </w:r>
      <w:r w:rsidR="00557498">
        <w:rPr>
          <w:rFonts w:ascii="Bookman Old Style" w:hAnsi="Bookman Old Style" w:cs="Arial"/>
          <w:b/>
          <w:bCs/>
          <w:i/>
          <w:iCs/>
          <w:sz w:val="28"/>
          <w:szCs w:val="28"/>
          <w:lang w:val="el-GR"/>
        </w:rPr>
        <w:t>Τ</w:t>
      </w:r>
      <w:r w:rsidR="00341462" w:rsidRPr="00341462">
        <w:rPr>
          <w:rFonts w:ascii="Bookman Old Style" w:hAnsi="Bookman Old Style" w:cs="Arial"/>
          <w:b/>
          <w:bCs/>
          <w:i/>
          <w:iCs/>
          <w:sz w:val="28"/>
          <w:szCs w:val="28"/>
          <w:lang w:val="el-GR"/>
        </w:rPr>
        <w:t>ράπεζας (Χρηματοδοτήσεις) Λτδ (2003) 1(Α) Α.Α.Δ. 530</w:t>
      </w:r>
      <w:r w:rsidR="00341462">
        <w:rPr>
          <w:rFonts w:ascii="Bookman Old Style" w:hAnsi="Bookman Old Style" w:cs="Arial"/>
          <w:sz w:val="28"/>
          <w:szCs w:val="28"/>
          <w:lang w:val="el-GR"/>
        </w:rPr>
        <w:t xml:space="preserve"> ως προς την ανωτέρω περιγραφόμενη φύση της συμφωνίας εγγύησης την οποία ο Εφεσείων υπέγραψε. Το </w:t>
      </w:r>
      <w:r w:rsidR="00341462" w:rsidRPr="00124BB3">
        <w:rPr>
          <w:rFonts w:ascii="Bookman Old Style" w:hAnsi="Bookman Old Style" w:cs="Arial"/>
          <w:b/>
          <w:bCs/>
          <w:i/>
          <w:iCs/>
          <w:sz w:val="28"/>
          <w:szCs w:val="28"/>
          <w:lang w:val="el-GR"/>
        </w:rPr>
        <w:t>άρθρο 97</w:t>
      </w:r>
      <w:r w:rsidR="00341462">
        <w:rPr>
          <w:rFonts w:ascii="Bookman Old Style" w:hAnsi="Bookman Old Style" w:cs="Arial"/>
          <w:sz w:val="28"/>
          <w:szCs w:val="28"/>
          <w:lang w:val="el-GR"/>
        </w:rPr>
        <w:t xml:space="preserve"> του </w:t>
      </w:r>
      <w:r w:rsidR="00341462" w:rsidRPr="00124BB3">
        <w:rPr>
          <w:rFonts w:ascii="Bookman Old Style" w:hAnsi="Bookman Old Style" w:cs="Arial"/>
          <w:b/>
          <w:bCs/>
          <w:i/>
          <w:iCs/>
          <w:sz w:val="28"/>
          <w:szCs w:val="28"/>
          <w:lang w:val="el-GR"/>
        </w:rPr>
        <w:t>Κεφ. 149</w:t>
      </w:r>
      <w:r w:rsidR="00341462">
        <w:rPr>
          <w:rFonts w:ascii="Bookman Old Style" w:hAnsi="Bookman Old Style" w:cs="Arial"/>
          <w:b/>
          <w:bCs/>
          <w:i/>
          <w:iCs/>
          <w:sz w:val="28"/>
          <w:szCs w:val="28"/>
          <w:lang w:val="el-GR"/>
        </w:rPr>
        <w:t xml:space="preserve"> </w:t>
      </w:r>
      <w:r w:rsidR="00341462">
        <w:rPr>
          <w:rFonts w:ascii="Bookman Old Style" w:hAnsi="Bookman Old Style" w:cs="Arial"/>
          <w:sz w:val="28"/>
          <w:szCs w:val="28"/>
          <w:lang w:val="el-GR"/>
        </w:rPr>
        <w:t xml:space="preserve">προνοεί για την απαλλαγή του εγγυητή αν ο πιστωτής τελέσει πράξη ασυμβίβαστη με τα δικαιώματα του εγγυητή, ή παραλείψει να τελέσει πράξη η οποία επιβάλλεται από τις υποχρεώσεις του προς τον εγγυητή, </w:t>
      </w:r>
      <w:r w:rsidR="00341462">
        <w:rPr>
          <w:rFonts w:ascii="Bookman Old Style" w:hAnsi="Bookman Old Style" w:cs="Arial"/>
          <w:sz w:val="28"/>
          <w:szCs w:val="28"/>
          <w:lang w:val="el-GR"/>
        </w:rPr>
        <w:lastRenderedPageBreak/>
        <w:t xml:space="preserve">και συνεπεία αυτού παραβλάπτεται η τελική ικανοποίηση του εγγυητή από τον </w:t>
      </w:r>
      <w:proofErr w:type="spellStart"/>
      <w:r w:rsidR="00341462">
        <w:rPr>
          <w:rFonts w:ascii="Bookman Old Style" w:hAnsi="Bookman Old Style" w:cs="Arial"/>
          <w:sz w:val="28"/>
          <w:szCs w:val="28"/>
          <w:lang w:val="el-GR"/>
        </w:rPr>
        <w:t>πρωτοφειλέτη</w:t>
      </w:r>
      <w:proofErr w:type="spellEnd"/>
      <w:r w:rsidR="00341462">
        <w:rPr>
          <w:rFonts w:ascii="Bookman Old Style" w:hAnsi="Bookman Old Style" w:cs="Arial"/>
          <w:sz w:val="28"/>
          <w:szCs w:val="28"/>
          <w:lang w:val="el-GR"/>
        </w:rPr>
        <w:t xml:space="preserve">. Δεν παρουσιάστηκε οποιαδήποτε μαρτυρία επί τούτου, </w:t>
      </w:r>
      <w:proofErr w:type="spellStart"/>
      <w:r w:rsidR="00341462">
        <w:rPr>
          <w:rFonts w:ascii="Bookman Old Style" w:hAnsi="Bookman Old Style" w:cs="Arial"/>
          <w:sz w:val="28"/>
          <w:szCs w:val="28"/>
          <w:lang w:val="el-GR"/>
        </w:rPr>
        <w:t>εξού</w:t>
      </w:r>
      <w:proofErr w:type="spellEnd"/>
      <w:r w:rsidR="00341462">
        <w:rPr>
          <w:rFonts w:ascii="Bookman Old Style" w:hAnsi="Bookman Old Style" w:cs="Arial"/>
          <w:sz w:val="28"/>
          <w:szCs w:val="28"/>
          <w:lang w:val="el-GR"/>
        </w:rPr>
        <w:t xml:space="preserve"> και </w:t>
      </w:r>
      <w:r>
        <w:rPr>
          <w:rFonts w:ascii="Bookman Old Style" w:hAnsi="Bookman Old Style" w:cs="Arial"/>
          <w:sz w:val="28"/>
          <w:szCs w:val="28"/>
          <w:lang w:val="el-GR"/>
        </w:rPr>
        <w:t xml:space="preserve">δεν υπήρξε </w:t>
      </w:r>
      <w:r w:rsidR="00341462">
        <w:rPr>
          <w:rFonts w:ascii="Bookman Old Style" w:hAnsi="Bookman Old Style" w:cs="Arial"/>
          <w:sz w:val="28"/>
          <w:szCs w:val="28"/>
          <w:lang w:val="el-GR"/>
        </w:rPr>
        <w:t xml:space="preserve">οποιοδήποτε σχετικό </w:t>
      </w:r>
      <w:r>
        <w:rPr>
          <w:rFonts w:ascii="Bookman Old Style" w:hAnsi="Bookman Old Style" w:cs="Arial"/>
          <w:sz w:val="28"/>
          <w:szCs w:val="28"/>
          <w:lang w:val="el-GR"/>
        </w:rPr>
        <w:t xml:space="preserve">εύρημα του πρωτόδικου Δικαστηρίου. Η κατ’  ισχυρισμό παράλειψη προστασίας του οχήματος για σκοπούς εγγραφής ουδόλως εξυπηρετεί τη σύμβαση </w:t>
      </w:r>
      <w:proofErr w:type="spellStart"/>
      <w:r>
        <w:rPr>
          <w:rFonts w:ascii="Bookman Old Style" w:hAnsi="Bookman Old Style" w:cs="Arial"/>
          <w:sz w:val="28"/>
          <w:szCs w:val="28"/>
          <w:lang w:val="el-GR"/>
        </w:rPr>
        <w:t>ενοικιαγοράς</w:t>
      </w:r>
      <w:proofErr w:type="spellEnd"/>
      <w:r>
        <w:rPr>
          <w:rFonts w:ascii="Bookman Old Style" w:hAnsi="Bookman Old Style" w:cs="Arial"/>
          <w:sz w:val="28"/>
          <w:szCs w:val="28"/>
          <w:lang w:val="el-GR"/>
        </w:rPr>
        <w:t xml:space="preserve">, εφόσον η εγγραφή δεν σχετίζεται με την κυριότητα, όπως επεξηγείται ανωτέρω. </w:t>
      </w:r>
    </w:p>
    <w:p w14:paraId="3AC7005C" w14:textId="60429444" w:rsidR="004E4967" w:rsidRDefault="00FD3F5D"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Το </w:t>
      </w:r>
      <w:r w:rsidRPr="00047B77">
        <w:rPr>
          <w:rFonts w:ascii="Bookman Old Style" w:hAnsi="Bookman Old Style" w:cs="Arial"/>
          <w:b/>
          <w:bCs/>
          <w:i/>
          <w:iCs/>
          <w:sz w:val="28"/>
          <w:szCs w:val="28"/>
          <w:lang w:val="el-GR"/>
        </w:rPr>
        <w:t xml:space="preserve">άρθρο 99 </w:t>
      </w:r>
      <w:r w:rsidRPr="00047B77">
        <w:rPr>
          <w:rFonts w:ascii="Bookman Old Style" w:hAnsi="Bookman Old Style" w:cs="Arial"/>
          <w:sz w:val="28"/>
          <w:szCs w:val="28"/>
          <w:lang w:val="el-GR"/>
        </w:rPr>
        <w:t>του</w:t>
      </w:r>
      <w:r w:rsidRPr="00047B77">
        <w:rPr>
          <w:rFonts w:ascii="Bookman Old Style" w:hAnsi="Bookman Old Style" w:cs="Arial"/>
          <w:b/>
          <w:bCs/>
          <w:i/>
          <w:iCs/>
          <w:sz w:val="28"/>
          <w:szCs w:val="28"/>
          <w:lang w:val="el-GR"/>
        </w:rPr>
        <w:t xml:space="preserve"> Κεφ. 149</w:t>
      </w:r>
      <w:r>
        <w:rPr>
          <w:rFonts w:ascii="Bookman Old Style" w:hAnsi="Bookman Old Style" w:cs="Arial"/>
          <w:b/>
          <w:bCs/>
          <w:i/>
          <w:iCs/>
          <w:sz w:val="28"/>
          <w:szCs w:val="28"/>
          <w:lang w:val="el-GR"/>
        </w:rPr>
        <w:t xml:space="preserve"> </w:t>
      </w:r>
      <w:r>
        <w:rPr>
          <w:rFonts w:ascii="Bookman Old Style" w:hAnsi="Bookman Old Style" w:cs="Arial"/>
          <w:sz w:val="28"/>
          <w:szCs w:val="28"/>
          <w:lang w:val="el-GR"/>
        </w:rPr>
        <w:t xml:space="preserve">προνοεί πως ο εγγυητής δικαιούται το όφελος κάθε ασφάλειας την οποία ο πιστωτής είχε έναντι του </w:t>
      </w:r>
      <w:proofErr w:type="spellStart"/>
      <w:r>
        <w:rPr>
          <w:rFonts w:ascii="Bookman Old Style" w:hAnsi="Bookman Old Style" w:cs="Arial"/>
          <w:sz w:val="28"/>
          <w:szCs w:val="28"/>
          <w:lang w:val="el-GR"/>
        </w:rPr>
        <w:t>πρωτοφειλέτη</w:t>
      </w:r>
      <w:proofErr w:type="spellEnd"/>
      <w:r>
        <w:rPr>
          <w:rFonts w:ascii="Bookman Old Style" w:hAnsi="Bookman Old Style" w:cs="Arial"/>
          <w:sz w:val="28"/>
          <w:szCs w:val="28"/>
          <w:lang w:val="el-GR"/>
        </w:rPr>
        <w:t xml:space="preserve"> κατά τη σύναψη της σύμβασης εγγύησης, είτε ο εγγυητής γνώριζε την ύπαρξης τέτοιας ασφάλειας </w:t>
      </w:r>
      <w:r w:rsidR="00047B77">
        <w:rPr>
          <w:rFonts w:ascii="Bookman Old Style" w:hAnsi="Bookman Old Style" w:cs="Arial"/>
          <w:sz w:val="28"/>
          <w:szCs w:val="28"/>
          <w:lang w:val="el-GR"/>
        </w:rPr>
        <w:t xml:space="preserve">είτε όχι, και </w:t>
      </w:r>
      <w:r w:rsidR="000A6AE2">
        <w:rPr>
          <w:rFonts w:ascii="Bookman Old Style" w:hAnsi="Bookman Old Style" w:cs="Arial"/>
          <w:sz w:val="28"/>
          <w:szCs w:val="28"/>
          <w:lang w:val="el-GR"/>
        </w:rPr>
        <w:t xml:space="preserve">πως αν ο πιστωτής τη χάσει, χωρίς τη συναίνεση του εγγυητή, ή αποξενωθεί από αυτή, ο εγγυητής απαλλάσσεται κατά την έκταση της αξίας της ασφάλειας. Και πάλι δεν υπήρξε τέτοια μαρτυρία η οποία να παρέχει δυνατότητα στο πρωτόδικο Δικαστήριο να εξετάσει το ζήτημα και ενδεχομένως να προβεί σε σχετικό εύρημα. </w:t>
      </w:r>
    </w:p>
    <w:p w14:paraId="236CC560" w14:textId="1D6986E1" w:rsidR="00047B77" w:rsidRDefault="00047B77"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Τέλος, δεν προβλήθηκε ούτε προωθήθηκε κατά την πρωτόδικη διαδικασία και δη κατά την ακροαματική διαδικασία ισχυρισμός περί </w:t>
      </w:r>
      <w:r>
        <w:rPr>
          <w:rFonts w:ascii="Bookman Old Style" w:hAnsi="Bookman Old Style" w:cs="Arial"/>
          <w:sz w:val="28"/>
          <w:szCs w:val="28"/>
          <w:lang w:val="el-GR"/>
        </w:rPr>
        <w:lastRenderedPageBreak/>
        <w:t xml:space="preserve">παραβίασης των </w:t>
      </w:r>
      <w:r w:rsidRPr="00047B77">
        <w:rPr>
          <w:rFonts w:ascii="Bookman Old Style" w:hAnsi="Bookman Old Style" w:cs="Arial"/>
          <w:b/>
          <w:bCs/>
          <w:i/>
          <w:iCs/>
          <w:sz w:val="28"/>
          <w:szCs w:val="28"/>
          <w:lang w:val="el-GR"/>
        </w:rPr>
        <w:t xml:space="preserve">άρθρων 5 και 12 </w:t>
      </w:r>
      <w:r w:rsidRPr="00047B77">
        <w:rPr>
          <w:rFonts w:ascii="Bookman Old Style" w:hAnsi="Bookman Old Style" w:cs="Arial"/>
          <w:sz w:val="28"/>
          <w:szCs w:val="28"/>
          <w:lang w:val="el-GR"/>
        </w:rPr>
        <w:t>του</w:t>
      </w:r>
      <w:r w:rsidRPr="00047B77">
        <w:rPr>
          <w:rFonts w:ascii="Bookman Old Style" w:hAnsi="Bookman Old Style" w:cs="Arial"/>
          <w:b/>
          <w:bCs/>
          <w:i/>
          <w:iCs/>
          <w:sz w:val="28"/>
          <w:szCs w:val="28"/>
          <w:lang w:val="el-GR"/>
        </w:rPr>
        <w:t xml:space="preserve"> Ν.197(Ι)/2003</w:t>
      </w:r>
      <w:r>
        <w:rPr>
          <w:rFonts w:ascii="Bookman Old Style" w:hAnsi="Bookman Old Style" w:cs="Arial"/>
          <w:sz w:val="28"/>
          <w:szCs w:val="28"/>
          <w:lang w:val="el-GR"/>
        </w:rPr>
        <w:t xml:space="preserve">, ούτως ώστε να καθίστατο αναγκαία η ρητή ενασχόληση με το ζήτημα. </w:t>
      </w:r>
    </w:p>
    <w:p w14:paraId="0EC360E3" w14:textId="1614E9F4" w:rsidR="00047B77" w:rsidRDefault="001063E8"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Ως εκ τούτου, </w:t>
      </w:r>
      <w:r w:rsidR="00047B77">
        <w:rPr>
          <w:rFonts w:ascii="Bookman Old Style" w:hAnsi="Bookman Old Style" w:cs="Arial"/>
          <w:sz w:val="28"/>
          <w:szCs w:val="28"/>
          <w:lang w:val="el-GR"/>
        </w:rPr>
        <w:t xml:space="preserve">και ο έβδομος λόγος έφεσης κρίνεται αβάσιμος και απορρίπτεται. </w:t>
      </w:r>
    </w:p>
    <w:p w14:paraId="5E751DC2" w14:textId="0F6544A9" w:rsidR="00562612" w:rsidRDefault="00562612"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Ο όγδοος λόγος έφεσης αφορά στο ότι εσφαλμένα το πρωτόδικο Δικαστήριο κατέληξε πως ο τερματισμός της συμφωνίας </w:t>
      </w:r>
      <w:proofErr w:type="spellStart"/>
      <w:r>
        <w:rPr>
          <w:rFonts w:ascii="Bookman Old Style" w:hAnsi="Bookman Old Style" w:cs="Arial"/>
          <w:sz w:val="28"/>
          <w:szCs w:val="28"/>
          <w:lang w:val="el-GR"/>
        </w:rPr>
        <w:t>ενοικιαγοράς</w:t>
      </w:r>
      <w:proofErr w:type="spellEnd"/>
      <w:r>
        <w:rPr>
          <w:rFonts w:ascii="Bookman Old Style" w:hAnsi="Bookman Old Style" w:cs="Arial"/>
          <w:sz w:val="28"/>
          <w:szCs w:val="28"/>
          <w:lang w:val="el-GR"/>
        </w:rPr>
        <w:t xml:space="preserve"> ήταν νόμιμο</w:t>
      </w:r>
      <w:r w:rsidR="00DA3E3D">
        <w:rPr>
          <w:rFonts w:ascii="Bookman Old Style" w:hAnsi="Bookman Old Style" w:cs="Arial"/>
          <w:sz w:val="28"/>
          <w:szCs w:val="28"/>
          <w:lang w:val="el-GR"/>
        </w:rPr>
        <w:t>ς</w:t>
      </w:r>
      <w:r>
        <w:rPr>
          <w:rFonts w:ascii="Bookman Old Style" w:hAnsi="Bookman Old Style" w:cs="Arial"/>
          <w:sz w:val="28"/>
          <w:szCs w:val="28"/>
          <w:lang w:val="el-GR"/>
        </w:rPr>
        <w:t xml:space="preserve">. </w:t>
      </w:r>
    </w:p>
    <w:p w14:paraId="35676E5A" w14:textId="64190FB4" w:rsidR="00DA3E3D" w:rsidRDefault="00DA3E3D"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Ο Εφεσείων επικαλείται την εσφαλμένη, αυθαίρετη και ελλιπή αξιολόγηση </w:t>
      </w:r>
      <w:r w:rsidR="003773F5">
        <w:rPr>
          <w:rFonts w:ascii="Bookman Old Style" w:hAnsi="Bookman Old Style" w:cs="Arial"/>
          <w:sz w:val="28"/>
          <w:szCs w:val="28"/>
          <w:lang w:val="el-GR"/>
        </w:rPr>
        <w:t xml:space="preserve">από το πρωτόδικο Δικαστήριο </w:t>
      </w:r>
      <w:r>
        <w:rPr>
          <w:rFonts w:ascii="Bookman Old Style" w:hAnsi="Bookman Old Style" w:cs="Arial"/>
          <w:sz w:val="28"/>
          <w:szCs w:val="28"/>
          <w:lang w:val="el-GR"/>
        </w:rPr>
        <w:t xml:space="preserve">της ενώπιον του μαρτυρίας, θέση η οποία είναι παντελώς γενική και αόριστη. </w:t>
      </w:r>
      <w:r w:rsidR="00557498">
        <w:rPr>
          <w:rFonts w:ascii="Bookman Old Style" w:hAnsi="Bookman Old Style" w:cs="Arial"/>
          <w:sz w:val="28"/>
          <w:szCs w:val="28"/>
          <w:lang w:val="el-GR"/>
        </w:rPr>
        <w:t>Έ</w:t>
      </w:r>
      <w:r w:rsidR="00016955">
        <w:rPr>
          <w:rFonts w:ascii="Bookman Old Style" w:hAnsi="Bookman Old Style" w:cs="Arial"/>
          <w:sz w:val="28"/>
          <w:szCs w:val="28"/>
          <w:lang w:val="el-GR"/>
        </w:rPr>
        <w:t>χει ήδη κριθεί ότι η αξιολόγηση από το πρωτόδικο Δικαστήριο του ΜΕ2 και του</w:t>
      </w:r>
      <w:r w:rsidR="006B7EF1">
        <w:rPr>
          <w:rFonts w:ascii="Bookman Old Style" w:hAnsi="Bookman Old Style" w:cs="Arial"/>
          <w:sz w:val="28"/>
          <w:szCs w:val="28"/>
          <w:lang w:val="el-GR"/>
        </w:rPr>
        <w:t xml:space="preserve"> Εφεσείοντα</w:t>
      </w:r>
      <w:r w:rsidR="00EF5A13">
        <w:rPr>
          <w:rFonts w:ascii="Bookman Old Style" w:hAnsi="Bookman Old Style" w:cs="Arial"/>
          <w:sz w:val="28"/>
          <w:szCs w:val="28"/>
          <w:lang w:val="el-GR"/>
        </w:rPr>
        <w:t xml:space="preserve"> </w:t>
      </w:r>
      <w:r w:rsidR="00016955">
        <w:rPr>
          <w:rFonts w:ascii="Bookman Old Style" w:hAnsi="Bookman Old Style" w:cs="Arial"/>
          <w:sz w:val="28"/>
          <w:szCs w:val="28"/>
          <w:lang w:val="el-GR"/>
        </w:rPr>
        <w:t xml:space="preserve">ήταν ορθή. </w:t>
      </w:r>
    </w:p>
    <w:p w14:paraId="27275DBC" w14:textId="77777777" w:rsidR="006779A0" w:rsidRDefault="006779A0"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Εν πάση περιπτώσει το πρωτόδικο Δικαστήριο δέχθηκε την ορθότητα της κατάστασης λογαριασμού η οποία κατατέθηκε από τους μάρτυρες της Εφεσίβλητης και τον νόμιμο τερματισμό της συμφωνίας </w:t>
      </w:r>
      <w:proofErr w:type="spellStart"/>
      <w:r>
        <w:rPr>
          <w:rFonts w:ascii="Bookman Old Style" w:hAnsi="Bookman Old Style" w:cs="Arial"/>
          <w:sz w:val="28"/>
          <w:szCs w:val="28"/>
          <w:lang w:val="el-GR"/>
        </w:rPr>
        <w:t>ενοικιαγοράς</w:t>
      </w:r>
      <w:proofErr w:type="spellEnd"/>
      <w:r>
        <w:rPr>
          <w:rFonts w:ascii="Bookman Old Style" w:hAnsi="Bookman Old Style" w:cs="Arial"/>
          <w:sz w:val="28"/>
          <w:szCs w:val="28"/>
          <w:lang w:val="el-GR"/>
        </w:rPr>
        <w:t xml:space="preserve"> ο οποίος κοινοποιήθηκε και στον Εφεσείοντα, στη δηλωθείσα από τον ίδιο διεύθυνση, επομένως κατέληξε ότι αυτός είναι υπεύθυνος για το οφειλόμενο κατά τον τερματισμό ποσό.</w:t>
      </w:r>
    </w:p>
    <w:p w14:paraId="71D03281" w14:textId="6C5F82BC" w:rsidR="00016955" w:rsidRDefault="00016955"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Ως εκ τούτου και ο όγδοος λόγος έφεσης απορρίπτεται. </w:t>
      </w:r>
    </w:p>
    <w:p w14:paraId="3DC7E1E8" w14:textId="2C0B2A96" w:rsidR="006779A0" w:rsidRDefault="006779A0"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Ο ένατος λόγος αφορά στην κατάληξη περί έκδοσης απόφασης εναντίον του Εφεσείοντα ως εγγυητή, αλληλέγγυα και ή </w:t>
      </w:r>
      <w:proofErr w:type="spellStart"/>
      <w:r>
        <w:rPr>
          <w:rFonts w:ascii="Bookman Old Style" w:hAnsi="Bookman Old Style" w:cs="Arial"/>
          <w:sz w:val="28"/>
          <w:szCs w:val="28"/>
          <w:lang w:val="el-GR"/>
        </w:rPr>
        <w:t>κεχωρισμένα</w:t>
      </w:r>
      <w:proofErr w:type="spellEnd"/>
      <w:r>
        <w:rPr>
          <w:rFonts w:ascii="Bookman Old Style" w:hAnsi="Bookman Old Style" w:cs="Arial"/>
          <w:sz w:val="28"/>
          <w:szCs w:val="28"/>
          <w:lang w:val="el-GR"/>
        </w:rPr>
        <w:t xml:space="preserve"> με τον εναγόμενο 1 και την απόρριψη της ανταπαίτησης του. </w:t>
      </w:r>
    </w:p>
    <w:p w14:paraId="59C07F81" w14:textId="7B9E5C6F" w:rsidR="006779A0" w:rsidRDefault="006779A0"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Με βάση όλα όσα αναφέρονται ανωτέρω και την ορθότητα των διαπιστώσεων του πρωτόδικου Δικαστηρίου, η εν λόγω κατάληξη και η πρωτόδικη απόφαση κρίνεται ορθή. </w:t>
      </w:r>
    </w:p>
    <w:p w14:paraId="7A07ADC8" w14:textId="5306CAE4" w:rsidR="006779A0" w:rsidRDefault="006779A0"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Ο ένατος λόγος απορρίπτεται. </w:t>
      </w:r>
    </w:p>
    <w:p w14:paraId="7D73845D" w14:textId="77777777" w:rsidR="006700DC" w:rsidRDefault="006779A0"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Η Έφεση απορρίπτεται. </w:t>
      </w:r>
    </w:p>
    <w:p w14:paraId="61A80481" w14:textId="67D66D7D" w:rsidR="006779A0" w:rsidRDefault="006700DC" w:rsidP="002F2B08">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w:t>
      </w:r>
      <w:r w:rsidR="000B5D7F">
        <w:rPr>
          <w:rFonts w:ascii="Bookman Old Style" w:hAnsi="Bookman Old Style" w:cs="Arial"/>
          <w:sz w:val="28"/>
          <w:szCs w:val="28"/>
          <w:lang w:val="el-GR"/>
        </w:rPr>
        <w:t xml:space="preserve">3.000 </w:t>
      </w:r>
      <w:r>
        <w:rPr>
          <w:rFonts w:ascii="Bookman Old Style" w:hAnsi="Bookman Old Style" w:cs="Arial"/>
          <w:sz w:val="28"/>
          <w:szCs w:val="28"/>
          <w:lang w:val="el-GR"/>
        </w:rPr>
        <w:t xml:space="preserve">έξοδα Έφεσης, πλέον ΦΠΑ αν υπάρχει, επιδικάζονται υπέρ της Εφεσίβλητης και εναντίον του Εφεσείοντα. </w:t>
      </w:r>
    </w:p>
    <w:p w14:paraId="4FA78F17" w14:textId="77777777" w:rsidR="009311D3" w:rsidRDefault="009311D3" w:rsidP="009311D3">
      <w:pPr>
        <w:spacing w:after="0" w:line="600" w:lineRule="auto"/>
        <w:rPr>
          <w:rFonts w:ascii="Bookman Old Style" w:hAnsi="Bookman Old Style"/>
          <w:sz w:val="28"/>
          <w:szCs w:val="28"/>
          <w:lang w:val="el-GR"/>
        </w:rPr>
      </w:pPr>
    </w:p>
    <w:p w14:paraId="606FE0C1" w14:textId="615687E0" w:rsidR="002F2B08" w:rsidRPr="0059765D" w:rsidRDefault="002F2B08" w:rsidP="009311D3">
      <w:pPr>
        <w:spacing w:line="600" w:lineRule="auto"/>
        <w:rPr>
          <w:rFonts w:ascii="Bookman Old Style" w:hAnsi="Bookman Old Style"/>
          <w:sz w:val="28"/>
          <w:szCs w:val="28"/>
          <w:lang w:val="el-GR"/>
        </w:rPr>
      </w:pP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t>Χ. ΜΑΛΑΧΤΟΣ, Δ.</w:t>
      </w:r>
    </w:p>
    <w:p w14:paraId="48DE8DAE" w14:textId="2E8FCC58" w:rsidR="002F2B08" w:rsidRPr="0059765D" w:rsidRDefault="002F2B08" w:rsidP="009311D3">
      <w:pPr>
        <w:spacing w:before="240" w:after="0" w:line="600" w:lineRule="auto"/>
        <w:rPr>
          <w:rFonts w:ascii="Bookman Old Style" w:hAnsi="Bookman Old Style"/>
          <w:sz w:val="28"/>
          <w:szCs w:val="28"/>
          <w:lang w:val="el-GR"/>
        </w:rPr>
      </w:pP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t>Ι. ΙΩΑΝΝΙΔΗΣ, Δ.</w:t>
      </w:r>
    </w:p>
    <w:p w14:paraId="53EA5F4A" w14:textId="77777777" w:rsidR="009311D3" w:rsidRDefault="002F2B08" w:rsidP="009311D3">
      <w:pPr>
        <w:spacing w:before="240" w:after="0" w:line="600" w:lineRule="auto"/>
        <w:rPr>
          <w:rFonts w:ascii="Bookman Old Style" w:hAnsi="Bookman Old Style"/>
          <w:sz w:val="28"/>
          <w:szCs w:val="28"/>
          <w:lang w:val="el-GR"/>
        </w:rPr>
      </w:pP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Pr>
          <w:rFonts w:ascii="Bookman Old Style" w:hAnsi="Bookman Old Style"/>
          <w:sz w:val="28"/>
          <w:szCs w:val="28"/>
        </w:rPr>
        <w:t>Ε. ΕΦΡΑΙΜ, Δ.</w:t>
      </w:r>
    </w:p>
    <w:p w14:paraId="7C3521E5" w14:textId="7CFF15DA" w:rsidR="00051EAA" w:rsidRPr="00051EAA" w:rsidRDefault="009311D3" w:rsidP="009311D3">
      <w:pPr>
        <w:spacing w:before="240" w:after="0" w:line="600" w:lineRule="auto"/>
        <w:rPr>
          <w:rFonts w:ascii="Bookman Old Style" w:hAnsi="Bookman Old Style"/>
          <w:sz w:val="28"/>
          <w:szCs w:val="28"/>
          <w:lang w:val="el-GR"/>
        </w:rPr>
      </w:pPr>
      <w:r>
        <w:rPr>
          <w:rFonts w:ascii="Bookman Old Style" w:hAnsi="Bookman Old Style"/>
          <w:sz w:val="28"/>
          <w:szCs w:val="28"/>
          <w:lang w:val="el-GR"/>
        </w:rPr>
        <w:t>/</w:t>
      </w:r>
      <w:proofErr w:type="spellStart"/>
      <w:r>
        <w:rPr>
          <w:rFonts w:ascii="Bookman Old Style" w:hAnsi="Bookman Old Style"/>
          <w:sz w:val="28"/>
          <w:szCs w:val="28"/>
          <w:lang w:val="el-GR"/>
        </w:rPr>
        <w:t>κβπ</w:t>
      </w:r>
      <w:proofErr w:type="spellEnd"/>
      <w:r w:rsidR="00051EAA">
        <w:rPr>
          <w:rFonts w:ascii="Bookman Old Style" w:hAnsi="Bookman Old Style"/>
          <w:sz w:val="28"/>
          <w:szCs w:val="28"/>
          <w:lang w:val="el-GR"/>
        </w:rPr>
        <w:tab/>
      </w:r>
      <w:r w:rsidR="00051EAA">
        <w:rPr>
          <w:rFonts w:ascii="Bookman Old Style" w:hAnsi="Bookman Old Style"/>
          <w:sz w:val="28"/>
          <w:szCs w:val="28"/>
          <w:lang w:val="el-GR"/>
        </w:rPr>
        <w:tab/>
      </w:r>
    </w:p>
    <w:sectPr w:rsidR="00051EAA" w:rsidRPr="00051EAA" w:rsidSect="009311D3">
      <w:headerReference w:type="default" r:id="rId7"/>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86FF7" w14:textId="77777777" w:rsidR="000F11E4" w:rsidRDefault="000F11E4" w:rsidP="00A873A1">
      <w:pPr>
        <w:spacing w:after="0" w:line="240" w:lineRule="auto"/>
      </w:pPr>
      <w:r>
        <w:separator/>
      </w:r>
    </w:p>
  </w:endnote>
  <w:endnote w:type="continuationSeparator" w:id="0">
    <w:p w14:paraId="0009F566" w14:textId="77777777" w:rsidR="000F11E4" w:rsidRDefault="000F11E4" w:rsidP="00A8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7518D" w14:textId="77777777" w:rsidR="000F11E4" w:rsidRDefault="000F11E4" w:rsidP="00A873A1">
      <w:pPr>
        <w:spacing w:after="0" w:line="240" w:lineRule="auto"/>
      </w:pPr>
      <w:r>
        <w:separator/>
      </w:r>
    </w:p>
  </w:footnote>
  <w:footnote w:type="continuationSeparator" w:id="0">
    <w:p w14:paraId="241C301E" w14:textId="77777777" w:rsidR="000F11E4" w:rsidRDefault="000F11E4" w:rsidP="00A87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0334471"/>
      <w:docPartObj>
        <w:docPartGallery w:val="Page Numbers (Top of Page)"/>
        <w:docPartUnique/>
      </w:docPartObj>
    </w:sdtPr>
    <w:sdtEndPr>
      <w:rPr>
        <w:noProof/>
      </w:rPr>
    </w:sdtEndPr>
    <w:sdtContent>
      <w:p w14:paraId="343B7377" w14:textId="358FDE70" w:rsidR="00A873A1" w:rsidRDefault="00A873A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9047700" w14:textId="77777777" w:rsidR="00A873A1" w:rsidRDefault="00A87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B0"/>
    <w:rsid w:val="0000728C"/>
    <w:rsid w:val="00010720"/>
    <w:rsid w:val="00016955"/>
    <w:rsid w:val="00016E4A"/>
    <w:rsid w:val="00017181"/>
    <w:rsid w:val="0002368B"/>
    <w:rsid w:val="00025BB8"/>
    <w:rsid w:val="00047B77"/>
    <w:rsid w:val="00051EAA"/>
    <w:rsid w:val="0006330B"/>
    <w:rsid w:val="00067FD8"/>
    <w:rsid w:val="00082458"/>
    <w:rsid w:val="0008759C"/>
    <w:rsid w:val="00095549"/>
    <w:rsid w:val="00096229"/>
    <w:rsid w:val="000A26CC"/>
    <w:rsid w:val="000A6AE2"/>
    <w:rsid w:val="000B0320"/>
    <w:rsid w:val="000B4C69"/>
    <w:rsid w:val="000B5D7F"/>
    <w:rsid w:val="000C08F4"/>
    <w:rsid w:val="000D0452"/>
    <w:rsid w:val="000D4557"/>
    <w:rsid w:val="000D7BBA"/>
    <w:rsid w:val="000F0B36"/>
    <w:rsid w:val="000F11E4"/>
    <w:rsid w:val="001063E8"/>
    <w:rsid w:val="0010672C"/>
    <w:rsid w:val="001071C2"/>
    <w:rsid w:val="0011107C"/>
    <w:rsid w:val="00121572"/>
    <w:rsid w:val="00124BB3"/>
    <w:rsid w:val="00131219"/>
    <w:rsid w:val="00133478"/>
    <w:rsid w:val="00133CBA"/>
    <w:rsid w:val="001455B4"/>
    <w:rsid w:val="0015245A"/>
    <w:rsid w:val="00153396"/>
    <w:rsid w:val="0018365F"/>
    <w:rsid w:val="001854B9"/>
    <w:rsid w:val="001B11D1"/>
    <w:rsid w:val="001B1BC8"/>
    <w:rsid w:val="001B7E31"/>
    <w:rsid w:val="001D7568"/>
    <w:rsid w:val="001E2A5A"/>
    <w:rsid w:val="001E39D9"/>
    <w:rsid w:val="001E3F33"/>
    <w:rsid w:val="001F187B"/>
    <w:rsid w:val="0020038B"/>
    <w:rsid w:val="00205B39"/>
    <w:rsid w:val="00207788"/>
    <w:rsid w:val="00243A92"/>
    <w:rsid w:val="0025066B"/>
    <w:rsid w:val="00253679"/>
    <w:rsid w:val="00254632"/>
    <w:rsid w:val="0025751F"/>
    <w:rsid w:val="00273558"/>
    <w:rsid w:val="00274A7A"/>
    <w:rsid w:val="002849F7"/>
    <w:rsid w:val="002873F6"/>
    <w:rsid w:val="00291FB0"/>
    <w:rsid w:val="002A0F2D"/>
    <w:rsid w:val="002B3CF5"/>
    <w:rsid w:val="002B5EAC"/>
    <w:rsid w:val="002C0C5C"/>
    <w:rsid w:val="002C2A05"/>
    <w:rsid w:val="002D1651"/>
    <w:rsid w:val="002E1528"/>
    <w:rsid w:val="002F2B08"/>
    <w:rsid w:val="0031577C"/>
    <w:rsid w:val="00334004"/>
    <w:rsid w:val="00341462"/>
    <w:rsid w:val="00346065"/>
    <w:rsid w:val="00357EEC"/>
    <w:rsid w:val="0037072E"/>
    <w:rsid w:val="003773F5"/>
    <w:rsid w:val="00394116"/>
    <w:rsid w:val="003A61ED"/>
    <w:rsid w:val="003B3295"/>
    <w:rsid w:val="003D1149"/>
    <w:rsid w:val="003D39F5"/>
    <w:rsid w:val="003D7701"/>
    <w:rsid w:val="003E49DB"/>
    <w:rsid w:val="003E6187"/>
    <w:rsid w:val="004025E9"/>
    <w:rsid w:val="00407252"/>
    <w:rsid w:val="004214FF"/>
    <w:rsid w:val="00431EE4"/>
    <w:rsid w:val="0045283E"/>
    <w:rsid w:val="00454BF4"/>
    <w:rsid w:val="00461BD5"/>
    <w:rsid w:val="00475900"/>
    <w:rsid w:val="00480C25"/>
    <w:rsid w:val="004823A8"/>
    <w:rsid w:val="0048295C"/>
    <w:rsid w:val="004934CC"/>
    <w:rsid w:val="004B089B"/>
    <w:rsid w:val="004C3D89"/>
    <w:rsid w:val="004E4967"/>
    <w:rsid w:val="004F0F04"/>
    <w:rsid w:val="004F1C86"/>
    <w:rsid w:val="00501B6C"/>
    <w:rsid w:val="00510C20"/>
    <w:rsid w:val="00524D96"/>
    <w:rsid w:val="00526142"/>
    <w:rsid w:val="00555699"/>
    <w:rsid w:val="00557498"/>
    <w:rsid w:val="00562612"/>
    <w:rsid w:val="005821D7"/>
    <w:rsid w:val="005910E6"/>
    <w:rsid w:val="00595B18"/>
    <w:rsid w:val="005A3E8C"/>
    <w:rsid w:val="005A7D63"/>
    <w:rsid w:val="005B14FE"/>
    <w:rsid w:val="005D280A"/>
    <w:rsid w:val="005D335C"/>
    <w:rsid w:val="005D3505"/>
    <w:rsid w:val="005D4A23"/>
    <w:rsid w:val="005F6767"/>
    <w:rsid w:val="00616EA7"/>
    <w:rsid w:val="0062470B"/>
    <w:rsid w:val="006327E4"/>
    <w:rsid w:val="00650011"/>
    <w:rsid w:val="0066574A"/>
    <w:rsid w:val="006667DF"/>
    <w:rsid w:val="006700DC"/>
    <w:rsid w:val="006779A0"/>
    <w:rsid w:val="006851AC"/>
    <w:rsid w:val="006A014D"/>
    <w:rsid w:val="006A12D9"/>
    <w:rsid w:val="006B7EF1"/>
    <w:rsid w:val="006C5916"/>
    <w:rsid w:val="006E19C3"/>
    <w:rsid w:val="006F391E"/>
    <w:rsid w:val="006F4DD1"/>
    <w:rsid w:val="00701918"/>
    <w:rsid w:val="007118E4"/>
    <w:rsid w:val="0072161A"/>
    <w:rsid w:val="007310A6"/>
    <w:rsid w:val="00750606"/>
    <w:rsid w:val="00765B0E"/>
    <w:rsid w:val="0079297E"/>
    <w:rsid w:val="007A05EA"/>
    <w:rsid w:val="007A71C3"/>
    <w:rsid w:val="007B1720"/>
    <w:rsid w:val="007C0D9E"/>
    <w:rsid w:val="007D01C6"/>
    <w:rsid w:val="007D5C87"/>
    <w:rsid w:val="007E7263"/>
    <w:rsid w:val="00802D48"/>
    <w:rsid w:val="00805305"/>
    <w:rsid w:val="00811DFC"/>
    <w:rsid w:val="00812ABD"/>
    <w:rsid w:val="00825050"/>
    <w:rsid w:val="00827017"/>
    <w:rsid w:val="008542CE"/>
    <w:rsid w:val="00854B2A"/>
    <w:rsid w:val="008760E3"/>
    <w:rsid w:val="008829AF"/>
    <w:rsid w:val="008875FF"/>
    <w:rsid w:val="0089345C"/>
    <w:rsid w:val="00895B09"/>
    <w:rsid w:val="008B20E8"/>
    <w:rsid w:val="008C0C73"/>
    <w:rsid w:val="008C7A53"/>
    <w:rsid w:val="008E07AD"/>
    <w:rsid w:val="008F4185"/>
    <w:rsid w:val="008F443D"/>
    <w:rsid w:val="0090417D"/>
    <w:rsid w:val="00905BF5"/>
    <w:rsid w:val="0091091B"/>
    <w:rsid w:val="00922313"/>
    <w:rsid w:val="009243FC"/>
    <w:rsid w:val="00927B23"/>
    <w:rsid w:val="009311D3"/>
    <w:rsid w:val="009758CC"/>
    <w:rsid w:val="009909A9"/>
    <w:rsid w:val="00990BB0"/>
    <w:rsid w:val="00992EFA"/>
    <w:rsid w:val="009B4DD6"/>
    <w:rsid w:val="009B63C8"/>
    <w:rsid w:val="009B78DA"/>
    <w:rsid w:val="009C335B"/>
    <w:rsid w:val="009C346F"/>
    <w:rsid w:val="009D05D0"/>
    <w:rsid w:val="009E147E"/>
    <w:rsid w:val="009F6EFC"/>
    <w:rsid w:val="00A448D1"/>
    <w:rsid w:val="00A62A21"/>
    <w:rsid w:val="00A62C8D"/>
    <w:rsid w:val="00A734CA"/>
    <w:rsid w:val="00A83061"/>
    <w:rsid w:val="00A873A1"/>
    <w:rsid w:val="00A96D16"/>
    <w:rsid w:val="00AB193D"/>
    <w:rsid w:val="00AD473B"/>
    <w:rsid w:val="00AD7661"/>
    <w:rsid w:val="00AD7910"/>
    <w:rsid w:val="00AE2F90"/>
    <w:rsid w:val="00AE5A90"/>
    <w:rsid w:val="00B068B1"/>
    <w:rsid w:val="00B115AD"/>
    <w:rsid w:val="00B2317E"/>
    <w:rsid w:val="00B34ACA"/>
    <w:rsid w:val="00B35BAC"/>
    <w:rsid w:val="00B42183"/>
    <w:rsid w:val="00B558AD"/>
    <w:rsid w:val="00B64E4E"/>
    <w:rsid w:val="00B7653C"/>
    <w:rsid w:val="00B77F8C"/>
    <w:rsid w:val="00B8041C"/>
    <w:rsid w:val="00B90BB1"/>
    <w:rsid w:val="00BA22F9"/>
    <w:rsid w:val="00BB18D2"/>
    <w:rsid w:val="00BB3FDF"/>
    <w:rsid w:val="00BB6E8B"/>
    <w:rsid w:val="00BC4458"/>
    <w:rsid w:val="00BD4B3E"/>
    <w:rsid w:val="00BD6995"/>
    <w:rsid w:val="00BE142A"/>
    <w:rsid w:val="00BE56A8"/>
    <w:rsid w:val="00C12931"/>
    <w:rsid w:val="00C310C6"/>
    <w:rsid w:val="00C52E18"/>
    <w:rsid w:val="00C6521C"/>
    <w:rsid w:val="00C74BE7"/>
    <w:rsid w:val="00C769CE"/>
    <w:rsid w:val="00C86C47"/>
    <w:rsid w:val="00CB4376"/>
    <w:rsid w:val="00CB718E"/>
    <w:rsid w:val="00CB767F"/>
    <w:rsid w:val="00CC055E"/>
    <w:rsid w:val="00CD2ADC"/>
    <w:rsid w:val="00D04DEE"/>
    <w:rsid w:val="00D15096"/>
    <w:rsid w:val="00D40EFE"/>
    <w:rsid w:val="00D472C7"/>
    <w:rsid w:val="00D7315E"/>
    <w:rsid w:val="00D90528"/>
    <w:rsid w:val="00DA3E3D"/>
    <w:rsid w:val="00DB23FB"/>
    <w:rsid w:val="00DB6427"/>
    <w:rsid w:val="00DC6E51"/>
    <w:rsid w:val="00DF2211"/>
    <w:rsid w:val="00DF5F98"/>
    <w:rsid w:val="00E1140F"/>
    <w:rsid w:val="00E118A6"/>
    <w:rsid w:val="00E16196"/>
    <w:rsid w:val="00E501AF"/>
    <w:rsid w:val="00E534B3"/>
    <w:rsid w:val="00E57EE8"/>
    <w:rsid w:val="00E608A9"/>
    <w:rsid w:val="00E6523D"/>
    <w:rsid w:val="00E84428"/>
    <w:rsid w:val="00E928AB"/>
    <w:rsid w:val="00EA1233"/>
    <w:rsid w:val="00EA6535"/>
    <w:rsid w:val="00EA684E"/>
    <w:rsid w:val="00EC3B73"/>
    <w:rsid w:val="00ED0A22"/>
    <w:rsid w:val="00EE5605"/>
    <w:rsid w:val="00EF5A13"/>
    <w:rsid w:val="00F00359"/>
    <w:rsid w:val="00F236E2"/>
    <w:rsid w:val="00F3047C"/>
    <w:rsid w:val="00F3553E"/>
    <w:rsid w:val="00F6384A"/>
    <w:rsid w:val="00F65B38"/>
    <w:rsid w:val="00F7341F"/>
    <w:rsid w:val="00FA304D"/>
    <w:rsid w:val="00FA7CA6"/>
    <w:rsid w:val="00FB3BFD"/>
    <w:rsid w:val="00FC3E0F"/>
    <w:rsid w:val="00FD3F5D"/>
    <w:rsid w:val="00FD5924"/>
    <w:rsid w:val="00FE2BAE"/>
    <w:rsid w:val="00FF1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9610"/>
  <w15:chartTrackingRefBased/>
  <w15:docId w15:val="{438B0952-4B03-4038-A8E1-994B4ABB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661"/>
  </w:style>
  <w:style w:type="paragraph" w:styleId="Heading1">
    <w:name w:val="heading 1"/>
    <w:basedOn w:val="Normal"/>
    <w:next w:val="Normal"/>
    <w:link w:val="Heading1Char"/>
    <w:uiPriority w:val="9"/>
    <w:qFormat/>
    <w:rsid w:val="00AD7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66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7661"/>
    <w:pPr>
      <w:ind w:left="720"/>
      <w:contextualSpacing/>
    </w:pPr>
  </w:style>
  <w:style w:type="paragraph" w:styleId="TOCHeading">
    <w:name w:val="TOC Heading"/>
    <w:basedOn w:val="Heading1"/>
    <w:next w:val="Normal"/>
    <w:uiPriority w:val="39"/>
    <w:unhideWhenUsed/>
    <w:qFormat/>
    <w:rsid w:val="00AD7661"/>
    <w:pPr>
      <w:outlineLvl w:val="9"/>
    </w:pPr>
    <w:rPr>
      <w:kern w:val="0"/>
      <w14:ligatures w14:val="none"/>
    </w:rPr>
  </w:style>
  <w:style w:type="paragraph" w:customStyle="1" w:styleId="nospacing">
    <w:name w:val="nospacing"/>
    <w:basedOn w:val="Normal"/>
    <w:rsid w:val="00A448D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istparagraph0">
    <w:name w:val="listparagraph"/>
    <w:basedOn w:val="Normal"/>
    <w:rsid w:val="004934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kanonikh">
    <w:name w:val="kanonikh"/>
    <w:basedOn w:val="Normal"/>
    <w:rsid w:val="005D4A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papaoi">
    <w:name w:val="apapaoi"/>
    <w:basedOn w:val="Normal"/>
    <w:rsid w:val="008C7A5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8C7A5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1">
    <w:name w:val="normal1"/>
    <w:basedOn w:val="DefaultParagraphFont"/>
    <w:rsid w:val="008C7A53"/>
  </w:style>
  <w:style w:type="paragraph" w:styleId="Header">
    <w:name w:val="header"/>
    <w:basedOn w:val="Normal"/>
    <w:link w:val="HeaderChar"/>
    <w:uiPriority w:val="99"/>
    <w:unhideWhenUsed/>
    <w:rsid w:val="00A87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3A1"/>
  </w:style>
  <w:style w:type="paragraph" w:styleId="Footer">
    <w:name w:val="footer"/>
    <w:basedOn w:val="Normal"/>
    <w:link w:val="FooterChar"/>
    <w:uiPriority w:val="99"/>
    <w:unhideWhenUsed/>
    <w:rsid w:val="00A87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029841">
      <w:bodyDiv w:val="1"/>
      <w:marLeft w:val="0"/>
      <w:marRight w:val="0"/>
      <w:marTop w:val="0"/>
      <w:marBottom w:val="0"/>
      <w:divBdr>
        <w:top w:val="none" w:sz="0" w:space="0" w:color="auto"/>
        <w:left w:val="none" w:sz="0" w:space="0" w:color="auto"/>
        <w:bottom w:val="none" w:sz="0" w:space="0" w:color="auto"/>
        <w:right w:val="none" w:sz="0" w:space="0" w:color="auto"/>
      </w:divBdr>
    </w:div>
    <w:div w:id="716662726">
      <w:bodyDiv w:val="1"/>
      <w:marLeft w:val="0"/>
      <w:marRight w:val="0"/>
      <w:marTop w:val="0"/>
      <w:marBottom w:val="0"/>
      <w:divBdr>
        <w:top w:val="none" w:sz="0" w:space="0" w:color="auto"/>
        <w:left w:val="none" w:sz="0" w:space="0" w:color="auto"/>
        <w:bottom w:val="none" w:sz="0" w:space="0" w:color="auto"/>
        <w:right w:val="none" w:sz="0" w:space="0" w:color="auto"/>
      </w:divBdr>
    </w:div>
    <w:div w:id="820535012">
      <w:bodyDiv w:val="1"/>
      <w:marLeft w:val="0"/>
      <w:marRight w:val="0"/>
      <w:marTop w:val="0"/>
      <w:marBottom w:val="0"/>
      <w:divBdr>
        <w:top w:val="none" w:sz="0" w:space="0" w:color="auto"/>
        <w:left w:val="none" w:sz="0" w:space="0" w:color="auto"/>
        <w:bottom w:val="none" w:sz="0" w:space="0" w:color="auto"/>
        <w:right w:val="none" w:sz="0" w:space="0" w:color="auto"/>
      </w:divBdr>
    </w:div>
    <w:div w:id="1023281998">
      <w:bodyDiv w:val="1"/>
      <w:marLeft w:val="0"/>
      <w:marRight w:val="0"/>
      <w:marTop w:val="0"/>
      <w:marBottom w:val="0"/>
      <w:divBdr>
        <w:top w:val="none" w:sz="0" w:space="0" w:color="auto"/>
        <w:left w:val="none" w:sz="0" w:space="0" w:color="auto"/>
        <w:bottom w:val="none" w:sz="0" w:space="0" w:color="auto"/>
        <w:right w:val="none" w:sz="0" w:space="0" w:color="auto"/>
      </w:divBdr>
    </w:div>
    <w:div w:id="1091662268">
      <w:bodyDiv w:val="1"/>
      <w:marLeft w:val="0"/>
      <w:marRight w:val="0"/>
      <w:marTop w:val="0"/>
      <w:marBottom w:val="0"/>
      <w:divBdr>
        <w:top w:val="none" w:sz="0" w:space="0" w:color="auto"/>
        <w:left w:val="none" w:sz="0" w:space="0" w:color="auto"/>
        <w:bottom w:val="none" w:sz="0" w:space="0" w:color="auto"/>
        <w:right w:val="none" w:sz="0" w:space="0" w:color="auto"/>
      </w:divBdr>
    </w:div>
    <w:div w:id="1142310370">
      <w:bodyDiv w:val="1"/>
      <w:marLeft w:val="0"/>
      <w:marRight w:val="0"/>
      <w:marTop w:val="0"/>
      <w:marBottom w:val="0"/>
      <w:divBdr>
        <w:top w:val="none" w:sz="0" w:space="0" w:color="auto"/>
        <w:left w:val="none" w:sz="0" w:space="0" w:color="auto"/>
        <w:bottom w:val="none" w:sz="0" w:space="0" w:color="auto"/>
        <w:right w:val="none" w:sz="0" w:space="0" w:color="auto"/>
      </w:divBdr>
    </w:div>
    <w:div w:id="1223835728">
      <w:bodyDiv w:val="1"/>
      <w:marLeft w:val="0"/>
      <w:marRight w:val="0"/>
      <w:marTop w:val="0"/>
      <w:marBottom w:val="0"/>
      <w:divBdr>
        <w:top w:val="none" w:sz="0" w:space="0" w:color="auto"/>
        <w:left w:val="none" w:sz="0" w:space="0" w:color="auto"/>
        <w:bottom w:val="none" w:sz="0" w:space="0" w:color="auto"/>
        <w:right w:val="none" w:sz="0" w:space="0" w:color="auto"/>
      </w:divBdr>
    </w:div>
    <w:div w:id="1559781511">
      <w:bodyDiv w:val="1"/>
      <w:marLeft w:val="0"/>
      <w:marRight w:val="0"/>
      <w:marTop w:val="0"/>
      <w:marBottom w:val="0"/>
      <w:divBdr>
        <w:top w:val="none" w:sz="0" w:space="0" w:color="auto"/>
        <w:left w:val="none" w:sz="0" w:space="0" w:color="auto"/>
        <w:bottom w:val="none" w:sz="0" w:space="0" w:color="auto"/>
        <w:right w:val="none" w:sz="0" w:space="0" w:color="auto"/>
      </w:divBdr>
    </w:div>
    <w:div w:id="1617520486">
      <w:bodyDiv w:val="1"/>
      <w:marLeft w:val="0"/>
      <w:marRight w:val="0"/>
      <w:marTop w:val="0"/>
      <w:marBottom w:val="0"/>
      <w:divBdr>
        <w:top w:val="none" w:sz="0" w:space="0" w:color="auto"/>
        <w:left w:val="none" w:sz="0" w:space="0" w:color="auto"/>
        <w:bottom w:val="none" w:sz="0" w:space="0" w:color="auto"/>
        <w:right w:val="none" w:sz="0" w:space="0" w:color="auto"/>
      </w:divBdr>
    </w:div>
    <w:div w:id="1756780115">
      <w:bodyDiv w:val="1"/>
      <w:marLeft w:val="0"/>
      <w:marRight w:val="0"/>
      <w:marTop w:val="0"/>
      <w:marBottom w:val="0"/>
      <w:divBdr>
        <w:top w:val="none" w:sz="0" w:space="0" w:color="auto"/>
        <w:left w:val="none" w:sz="0" w:space="0" w:color="auto"/>
        <w:bottom w:val="none" w:sz="0" w:space="0" w:color="auto"/>
        <w:right w:val="none" w:sz="0" w:space="0" w:color="auto"/>
      </w:divBdr>
    </w:div>
    <w:div w:id="20970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D37E3-314F-436D-BE26-E397A0E0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3920</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Marilia Hadjiprodromou</cp:lastModifiedBy>
  <cp:revision>4</cp:revision>
  <dcterms:created xsi:type="dcterms:W3CDTF">2024-04-11T10:46:00Z</dcterms:created>
  <dcterms:modified xsi:type="dcterms:W3CDTF">2024-04-11T10:47:00Z</dcterms:modified>
</cp:coreProperties>
</file>